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line="276" w:lineRule="auto"/>
        <w:jc w:val="center"/>
      </w:pPr>
      <w:r>
        <w:rPr>
          <w:rFonts w:ascii="Calibri" w:hAnsi="Calibri"/>
          <w:b/>
          <w:color w:val="0F2C59"/>
          <w:sz w:val="44"/>
        </w:rPr>
        <w:t>The Chomsky Hierarchy and the Relative Power of Formal Language Models</w:t>
      </w:r>
    </w:p>
    <w:p>
      <w:pPr>
        <w:spacing w:before="0" w:after="280"/>
        <w:jc w:val="center"/>
      </w:pPr>
      <w:r>
        <w:rPr>
          <w:rFonts w:ascii="Calibri" w:hAnsi="Calibri"/>
          <w:i/>
          <w:color w:val="1E5A96"/>
          <w:sz w:val="26"/>
        </w:rPr>
        <w:t>Theoretical Foundations, Machine Separations, Complexity Limits, and Contemporary Computing Applications</w:t>
      </w:r>
    </w:p>
    <w:p>
      <w:pPr>
        <w:spacing w:before="0" w:after="360"/>
        <w:jc w:val="center"/>
      </w:pPr>
      <w:r>
        <w:rPr>
          <w:rFonts w:ascii="Calibri" w:hAnsi="Calibri"/>
          <w:b/>
          <w:color w:val="0F2C59"/>
          <w:sz w:val="22"/>
        </w:rPr>
        <w:t>Jeff Tarimo (MSc Computer Science)</w:t>
        <w:br/>
      </w:r>
      <w:r>
        <w:rPr>
          <w:rFonts w:ascii="Calibri" w:hAnsi="Calibri"/>
          <w:color w:val="646464"/>
          <w:sz w:val="19"/>
        </w:rPr>
        <w:t>Department of Computer Science &amp; Technology, Zetech University | Unit: Advanced Theory of Computation (Computability and Formal Models)</w:t>
        <w:br/>
        <w:t>Submission Date: October 2026</w:t>
      </w:r>
    </w:p>
    <w:tbl>
      <w:tblPr>
        <w:tblW w:type="auto" w:w="0"/>
        <w:jc w:val="center"/>
        <w:tblLook w:firstColumn="1" w:firstRow="1" w:lastColumn="0" w:lastRow="0" w:noHBand="0" w:noVBand="1" w:val="04A0"/>
      </w:tblPr>
      <w:tblGrid>
        <w:gridCol w:w="9360"/>
      </w:tblGrid>
      <w:tr>
        <w:tc>
          <w:tcPr>
            <w:tcW w:type="dxa" w:w="9360"/>
            <w:shd w:fill="F0F4F8"/>
            <w:tcMar>
              <w:top w:w="140" w:type="dxa"/>
              <w:bottom w:w="140" w:type="dxa"/>
              <w:left w:w="200" w:type="dxa"/>
              <w:right w:w="200" w:type="dxa"/>
            </w:tcMar>
          </w:tcPr>
          <w:p>
            <w:pPr>
              <w:spacing w:after="80"/>
            </w:pPr>
            <w:r>
              <w:rPr>
                <w:rFonts w:ascii="Calibri" w:hAnsi="Calibri"/>
                <w:b/>
                <w:color w:val="0F2C59"/>
                <w:sz w:val="19"/>
              </w:rPr>
              <w:t>[ABSTRACT]</w:t>
              <w:br/>
            </w:r>
            <w:r>
              <w:rPr>
                <w:rFonts w:ascii="Calibri" w:hAnsi="Calibri"/>
                <w:i/>
                <w:color w:val="282828"/>
                <w:sz w:val="20"/>
              </w:rPr>
              <w:t>The Chomsky Hierarchy constitutes one of the most foundational structural frameworks in theoretical computer science, establishing a rigorous mathematical taxonomy that unifies formal grammar theory, automata theory, and computational complexity. This research paper provides an in-depth investigation into the four classical tiers of the hierarchy: Type 3 (Regular Languages recognized by Finite Automata), Type 2 (Context-Free Languages recognized by Pushdown Automata), Type 1 (Context-Sensitive Languages recognized by Linear Bounded Automata), and Type 0 (Recursively Enumerable Languages recognized by Turing Machines). We investigate the exact architectural mechanisms—specifically memory bounds, access structures (none, LIFO stack, linearly bounded tape, and unbounded random-access tape), and nondeterministic branching—that delineate these classes. Through rigorous mathematical proofs, we demonstrate the strict proper containment of these tiers using non-pumping arguments (the classical Pumping Lemma for regular languages, the Pumping Lemma for context-free languages, and Ogden's Lemma) applied to canonical separator languages, alongside closure property dissimilarities. Furthermore, we examine the profound computational shift across the decidability boundary, transitioning from the linear-time membership and total decidability of regular systems to the PSPACE-completeness of context-sensitive recognition and the Turing-undecidability of unrestricted computation. Finally, we establish the direct relevance of the Chomsky hierarchy to contemporary computer systems: specifically, compiler front-end pipelines (lexing, LR/LL parsing, and semantic analysis), modern Language-Theoretic Security (LangSec) where ad-hoc parsing of high-order inputs induces exploitable 'weird machines,' computational biology (RNA secondary structure pseudoknots), and recent diagnostic benchmarks evaluating the formal expressivity of neural sequence models such as Transformers.</w:t>
            </w:r>
          </w:p>
        </w:tc>
      </w:tr>
    </w:tbl>
    <w:p>
      <w:pPr>
        <w:spacing w:before="0" w:after="80"/>
      </w:pPr>
    </w:p>
    <w:p>
      <w:pPr>
        <w:keepNext/>
        <w:spacing w:before="320" w:after="120"/>
      </w:pPr>
      <w:r>
        <w:rPr>
          <w:rFonts w:ascii="Calibri" w:hAnsi="Calibri"/>
          <w:b/>
          <w:color w:val="0F2C59"/>
          <w:sz w:val="28"/>
        </w:rPr>
        <w:t>1. Introduction and Problem Statement</w:t>
      </w:r>
    </w:p>
    <w:p>
      <w:pPr>
        <w:spacing w:after="120" w:line="276" w:lineRule="auto" w:before="0"/>
      </w:pPr>
      <w:r>
        <w:rPr>
          <w:rFonts w:ascii="Calibri" w:hAnsi="Calibri"/>
          <w:color w:val="282828"/>
          <w:sz w:val="21"/>
        </w:rPr>
        <w:t>In 1956 and 1959, the linguist and cognitive scientist Noam Chomsky introduced a formal taxonomy of generative grammars intended to characterize the syntactic structures of natural human languages. What originated as a linguistic inquiry rapidly evolved into the foundational backbone of theoretical computer science, compiler engineering, and computability theory. By classifying formal grammars according to systematic structural restrictions imposed on their rewriting rules, Chomsky established a four-level containment hierarchy—conventionally enumerated from Type 3 (most restricted) to Type 0 (unrestricted). In subsequent decades, landmark discoveries by Schützenberger, Rabin, Scott, Kuroda, and Turing revealed a magnificent mathematical duality: each grammatical level in the hierarchy corresponds precisely to an abstract computational machine defined by a specific internal memory architecture.</w:t>
      </w:r>
    </w:p>
    <w:p>
      <w:pPr>
        <w:spacing w:after="120" w:line="276" w:lineRule="auto" w:before="0"/>
      </w:pPr>
      <w:r>
        <w:rPr>
          <w:rFonts w:ascii="Calibri" w:hAnsi="Calibri"/>
          <w:color w:val="282828"/>
          <w:sz w:val="21"/>
        </w:rPr>
        <w:t>Despite its historical maturity, the Chomsky Hierarchy remains an active, vital subject of research and technical debate. Modern computing systems operate under severe tension between expressive power, algorithmic efficiency, and security correctness. When software systems ingest untrusted input formatted in complex, context-sensitive, or unrestricted languages, severe computational bottlenecks and security vulnerabilities emerge. The emerging paradigm of Language-Theoretic Security (LangSec) explicitly traces critical vulnerabilities—such as remote code execution, deserialization exploits, and parser differentials—to violations of Chomsky hierarchy boundaries in input validation. Concurrently, the compiler engineering discipline balances linear-time lexical tokenization against cubic-time general context-free parsing and NP/PSPACE-complete semantic type checking. Most recently, deep learning researchers have repurposed the Chomsky hierarchy as a rigorous formal yardstick to evaluate the computational limits of Recurrent Neural Networks (RNNs) and Transformer-based Large Language Models (LLMs).</w:t>
      </w:r>
    </w:p>
    <w:p>
      <w:pPr>
        <w:keepNext/>
        <w:spacing w:before="240" w:after="80"/>
      </w:pPr>
      <w:r>
        <w:rPr>
          <w:rFonts w:ascii="Calibri" w:hAnsi="Calibri"/>
          <w:b/>
          <w:color w:val="1E5A96"/>
          <w:sz w:val="24"/>
        </w:rPr>
        <w:t>1.1 Research Questions and Scope</w:t>
      </w:r>
    </w:p>
    <w:p>
      <w:pPr>
        <w:spacing w:after="120" w:line="276" w:lineRule="auto" w:before="0"/>
      </w:pPr>
      <w:r>
        <w:rPr>
          <w:rFonts w:ascii="Calibri" w:hAnsi="Calibri"/>
          <w:color w:val="282828"/>
          <w:sz w:val="21"/>
        </w:rPr>
        <w:t>This seminar paper rigorously examines the theoretical mechanisms and practical implications of the Chomsky Hierarchy. We structure our inquiry around four primary research questions:</w:t>
      </w:r>
    </w:p>
    <w:p>
      <w:pPr>
        <w:pStyle w:val="ListBullet"/>
        <w:spacing w:after="80" w:line="276" w:lineRule="auto" w:before="0"/>
      </w:pPr>
      <w:r>
        <w:rPr>
          <w:rFonts w:ascii="Calibri" w:hAnsi="Calibri"/>
          <w:b/>
          <w:color w:val="282828"/>
          <w:sz w:val="20"/>
        </w:rPr>
        <w:t xml:space="preserve">RQ1 (Architectural Delineation): </w:t>
      </w:r>
      <w:r>
        <w:rPr>
          <w:rFonts w:ascii="Calibri" w:hAnsi="Calibri"/>
          <w:color w:val="282828"/>
          <w:sz w:val="20"/>
        </w:rPr>
        <w:t>How do fundamental architectural differences in memory mechanisms (unbounded random access, linearly bounded storage, LIFO stacks, and zero auxiliary memory) determine the relative computational power of the corresponding automata classes?</w:t>
      </w:r>
    </w:p>
    <w:p>
      <w:pPr>
        <w:pStyle w:val="ListBullet"/>
        <w:spacing w:after="80" w:line="276" w:lineRule="auto" w:before="0"/>
      </w:pPr>
      <w:r>
        <w:rPr>
          <w:rFonts w:ascii="Calibri" w:hAnsi="Calibri"/>
          <w:b/>
          <w:color w:val="282828"/>
          <w:sz w:val="20"/>
        </w:rPr>
        <w:t xml:space="preserve">RQ2 (Mathematical Separation): </w:t>
      </w:r>
      <w:r>
        <w:rPr>
          <w:rFonts w:ascii="Calibri" w:hAnsi="Calibri"/>
          <w:color w:val="282828"/>
          <w:sz w:val="20"/>
        </w:rPr>
        <w:t>How do non-pumping lemmas, Ogden's Lemma, and algebraic closure properties mathematically establish the strict proper containment between the four language tiers?</w:t>
      </w:r>
    </w:p>
    <w:p>
      <w:pPr>
        <w:pStyle w:val="ListBullet"/>
        <w:spacing w:after="80" w:line="276" w:lineRule="auto" w:before="0"/>
      </w:pPr>
      <w:r>
        <w:rPr>
          <w:rFonts w:ascii="Calibri" w:hAnsi="Calibri"/>
          <w:b/>
          <w:color w:val="282828"/>
          <w:sz w:val="20"/>
        </w:rPr>
        <w:t xml:space="preserve">RQ3 (Decidability &amp; Complexity Boundaries): </w:t>
      </w:r>
      <w:r>
        <w:rPr>
          <w:rFonts w:ascii="Calibri" w:hAnsi="Calibri"/>
          <w:color w:val="282828"/>
          <w:sz w:val="20"/>
        </w:rPr>
        <w:t>What are the formal decidability boundaries governing decision problems (membership, emptiness, equivalence, ambiguity) across the hierarchy, and how does the transition to undecidability manifest?</w:t>
      </w:r>
    </w:p>
    <w:p>
      <w:pPr>
        <w:pStyle w:val="ListBullet"/>
        <w:spacing w:after="80" w:line="276" w:lineRule="auto" w:before="0"/>
      </w:pPr>
      <w:r>
        <w:rPr>
          <w:rFonts w:ascii="Calibri" w:hAnsi="Calibri"/>
          <w:b/>
          <w:color w:val="282828"/>
          <w:sz w:val="20"/>
        </w:rPr>
        <w:t xml:space="preserve">RQ4 (Contemporary Computing Implications): </w:t>
      </w:r>
      <w:r>
        <w:rPr>
          <w:rFonts w:ascii="Calibri" w:hAnsi="Calibri"/>
          <w:color w:val="282828"/>
          <w:sz w:val="20"/>
        </w:rPr>
        <w:t>How do the theoretical limitations of formal language models govern real-world computer systems, particularly in compiler pipeline design, Language-Theoretic Security (LangSec), bio-computing, and neural sequence architectures?</w:t>
      </w:r>
    </w:p>
    <w:p>
      <w:pPr>
        <w:keepNext/>
        <w:spacing w:before="320" w:after="120"/>
      </w:pPr>
      <w:r>
        <w:rPr>
          <w:rFonts w:ascii="Calibri" w:hAnsi="Calibri"/>
          <w:b/>
          <w:color w:val="0F2C59"/>
          <w:sz w:val="28"/>
        </w:rPr>
        <w:t>2. Theoretical Foundations and Formal Definitions</w:t>
      </w:r>
    </w:p>
    <w:p>
      <w:pPr>
        <w:spacing w:after="120" w:line="276" w:lineRule="auto" w:before="0"/>
      </w:pPr>
      <w:r>
        <w:rPr>
          <w:rFonts w:ascii="Calibri" w:hAnsi="Calibri"/>
          <w:color w:val="282828"/>
          <w:sz w:val="21"/>
        </w:rPr>
        <w:t>To establish rigorous discourse, we first provide the formal mathematical definitions of alphabets, strings, formal grammars, derivations, and the four foundational automata architectures that comprise the Chomsky Hierarchy.</w:t>
      </w:r>
    </w:p>
    <w:p>
      <w:pPr>
        <w:keepNext/>
        <w:spacing w:before="240" w:after="80"/>
      </w:pPr>
      <w:r>
        <w:rPr>
          <w:rFonts w:ascii="Calibri" w:hAnsi="Calibri"/>
          <w:b/>
          <w:color w:val="1E5A96"/>
          <w:sz w:val="24"/>
        </w:rPr>
        <w:t>2.1 Alphabets, Languages, and Formal Grammars</w:t>
      </w:r>
    </w:p>
    <w:p>
      <w:pPr>
        <w:spacing w:after="120" w:line="276" w:lineRule="auto" w:before="0"/>
      </w:pPr>
      <w:r>
        <w:rPr>
          <w:rFonts w:ascii="Calibri" w:hAnsi="Calibri"/>
          <w:color w:val="282828"/>
          <w:sz w:val="21"/>
        </w:rPr>
        <w:t>An alphabet, denoted Sigma (Σ), is a non-empty finite set of symbols. A string over Σ is a finite sequence of symbols chosen from Σ. The empty string is denoted by epsilon (ε), possessing length |ε| = 0. The set of all strings over Σ of length n is denoted Σ^n, and the Kleene closure Σ* denotes the set of all finite strings over Σ, formally defined as the union of Σ^i for all i &gt;= 0. A formal language L is an arbitrary subset of Σ*, such that L ⊆ Σ*.</w:t>
      </w:r>
    </w:p>
    <w:p>
      <w:pPr>
        <w:spacing w:after="120" w:line="276" w:lineRule="auto" w:before="0"/>
      </w:pPr>
      <w:r>
        <w:rPr>
          <w:rFonts w:ascii="Calibri" w:hAnsi="Calibri"/>
          <w:b/>
          <w:color w:val="282828"/>
          <w:sz w:val="21"/>
        </w:rPr>
        <w:t xml:space="preserve">Definition 1 (Generative Grammar): </w:t>
      </w:r>
      <w:r>
        <w:rPr>
          <w:rFonts w:ascii="Calibri" w:hAnsi="Calibri"/>
          <w:color w:val="282828"/>
          <w:sz w:val="21"/>
        </w:rPr>
        <w:t>A formal generative grammar is a 4-tuple G = (V, Σ, R, S), where:</w:t>
      </w:r>
    </w:p>
    <w:p>
      <w:pPr>
        <w:pStyle w:val="ListBullet"/>
        <w:spacing w:after="80" w:line="276" w:lineRule="auto" w:before="0"/>
      </w:pPr>
      <w:r>
        <w:rPr>
          <w:rFonts w:ascii="Calibri" w:hAnsi="Calibri"/>
          <w:b/>
          <w:color w:val="282828"/>
          <w:sz w:val="20"/>
        </w:rPr>
        <w:t xml:space="preserve">1. Non-terminals: </w:t>
      </w:r>
      <w:r>
        <w:rPr>
          <w:rFonts w:ascii="Calibri" w:hAnsi="Calibri"/>
          <w:color w:val="282828"/>
          <w:sz w:val="20"/>
        </w:rPr>
        <w:t>V is a finite set of non-terminal symbols (variables).</w:t>
      </w:r>
    </w:p>
    <w:p>
      <w:pPr>
        <w:pStyle w:val="ListBullet"/>
        <w:spacing w:after="80" w:line="276" w:lineRule="auto" w:before="0"/>
      </w:pPr>
      <w:r>
        <w:rPr>
          <w:rFonts w:ascii="Calibri" w:hAnsi="Calibri"/>
          <w:b/>
          <w:color w:val="282828"/>
          <w:sz w:val="20"/>
        </w:rPr>
        <w:t xml:space="preserve">2. Terminals: </w:t>
      </w:r>
      <w:r>
        <w:rPr>
          <w:rFonts w:ascii="Calibri" w:hAnsi="Calibri"/>
          <w:color w:val="282828"/>
          <w:sz w:val="20"/>
        </w:rPr>
        <w:t>Σ is a finite set of terminal symbols, disjoint from V (i.e., V ∩ Σ = ∅).</w:t>
      </w:r>
    </w:p>
    <w:p>
      <w:pPr>
        <w:pStyle w:val="ListBullet"/>
        <w:spacing w:after="80" w:line="276" w:lineRule="auto" w:before="0"/>
      </w:pPr>
      <w:r>
        <w:rPr>
          <w:rFonts w:ascii="Calibri" w:hAnsi="Calibri"/>
          <w:b/>
          <w:color w:val="282828"/>
          <w:sz w:val="20"/>
        </w:rPr>
        <w:t xml:space="preserve">3. Production Rules: </w:t>
      </w:r>
      <w:r>
        <w:rPr>
          <w:rFonts w:ascii="Calibri" w:hAnsi="Calibri"/>
          <w:color w:val="282828"/>
          <w:sz w:val="20"/>
        </w:rPr>
        <w:t>R is a finite set of production rules of the form α → β, where α ∈ (V ∪ Σ)* V (V ∪ Σ)* (meaning α must contain at least one non-terminal) and β ∈ (V ∪ Σ)*.</w:t>
      </w:r>
    </w:p>
    <w:p>
      <w:pPr>
        <w:pStyle w:val="ListBullet"/>
        <w:spacing w:after="80" w:line="276" w:lineRule="auto" w:before="0"/>
      </w:pPr>
      <w:r>
        <w:rPr>
          <w:rFonts w:ascii="Calibri" w:hAnsi="Calibri"/>
          <w:b/>
          <w:color w:val="282828"/>
          <w:sz w:val="20"/>
        </w:rPr>
        <w:t xml:space="preserve">4. Start Symbol: </w:t>
      </w:r>
      <w:r>
        <w:rPr>
          <w:rFonts w:ascii="Calibri" w:hAnsi="Calibri"/>
          <w:color w:val="282828"/>
          <w:sz w:val="20"/>
        </w:rPr>
        <w:t>S ∈ V is the distinguished start symbol.</w:t>
      </w:r>
    </w:p>
    <w:p>
      <w:pPr>
        <w:spacing w:after="120" w:line="276" w:lineRule="auto" w:before="0"/>
      </w:pPr>
      <w:r>
        <w:rPr>
          <w:rFonts w:ascii="Calibri" w:hAnsi="Calibri"/>
          <w:color w:val="282828"/>
          <w:sz w:val="21"/>
        </w:rPr>
        <w:t>A direct derivation step is defined over strings u, v ∈ (V ∪ Σ)* as u ⇒ v if there exist strings x, y ∈ (V ∪ Σ)* and a production rule (α → β) ∈ R such that u = xαy and v = xβy. The reflexive transitive closure of ⇒ is denoted ⇒*. The language generated by grammar G, denoted L(G), is the set of all terminal strings derivable from S: L(G) = {w ∈ Σ* | S ⇒* w}.</w:t>
      </w:r>
    </w:p>
    <w:p>
      <w:pPr>
        <w:keepNext/>
        <w:spacing w:before="240" w:after="80"/>
      </w:pPr>
      <w:r>
        <w:rPr>
          <w:rFonts w:ascii="Calibri" w:hAnsi="Calibri"/>
          <w:b/>
          <w:color w:val="1E5A96"/>
          <w:sz w:val="24"/>
        </w:rPr>
        <w:t>2.2 The Four Tiers of the Chomsky Hierarchy</w:t>
      </w:r>
    </w:p>
    <w:p>
      <w:pPr>
        <w:spacing w:after="120" w:line="276" w:lineRule="auto" w:before="0"/>
      </w:pPr>
      <w:r>
        <w:rPr>
          <w:rFonts w:ascii="Calibri" w:hAnsi="Calibri"/>
          <w:color w:val="282828"/>
          <w:sz w:val="21"/>
        </w:rPr>
        <w:t>Chomsky classified grammars by placing successive structural constraints on the form of production rules (α → β) ∈ R:</w:t>
      </w:r>
    </w:p>
    <w:p>
      <w:pPr>
        <w:spacing w:after="120" w:line="276" w:lineRule="auto" w:before="0"/>
      </w:pPr>
      <w:r>
        <w:rPr>
          <w:rFonts w:ascii="Calibri" w:hAnsi="Calibri"/>
          <w:b/>
          <w:color w:val="282828"/>
          <w:sz w:val="21"/>
        </w:rPr>
        <w:t xml:space="preserve">Type 0: Unrestricted Grammars. </w:t>
      </w:r>
      <w:r>
        <w:rPr>
          <w:rFonts w:ascii="Calibri" w:hAnsi="Calibri"/>
          <w:color w:val="282828"/>
          <w:sz w:val="21"/>
        </w:rPr>
        <w:t>Production rules have no restrictions: α → β, where α ∈ (V ∪ Σ)+ and β ∈ (V ∪ Σ)*. The left-hand side α must contain at least one non-terminal symbol. Languages generated by Type 0 grammars are called Recursively Enumerable (RE) or Turing-Recognizable languages.</w:t>
      </w:r>
    </w:p>
    <w:p>
      <w:pPr>
        <w:spacing w:after="120" w:line="276" w:lineRule="auto" w:before="0"/>
      </w:pPr>
      <w:r>
        <w:rPr>
          <w:rFonts w:ascii="Calibri" w:hAnsi="Calibri"/>
          <w:b/>
          <w:color w:val="282828"/>
          <w:sz w:val="21"/>
        </w:rPr>
        <w:t xml:space="preserve">Type 1: Context-Sensitive Grammars (CSG). </w:t>
      </w:r>
      <w:r>
        <w:rPr>
          <w:rFonts w:ascii="Calibri" w:hAnsi="Calibri"/>
          <w:color w:val="282828"/>
          <w:sz w:val="21"/>
        </w:rPr>
        <w:t>Production rules satisfy the condition |α| ≤ |β| for all (α → β) ∈ R (non-contracting grammars), with the optional exception that S → ε is permitted if S does not appear on the right-hand side of any production. Alternatively, rules are formulated in the canonical context-sensitive format: α1 A α2 → α1 γ α2, where A ∈ V, α1, α2 ∈ (V ∪ Σ)*, and γ ∈ (V ∪ Σ)+. The string A is replaced by γ exclusively within the context of being preceded by α1 and followed by α2. Languages generated are Context-Sensitive Languages (CSLs).</w:t>
      </w:r>
    </w:p>
    <w:p>
      <w:pPr>
        <w:spacing w:after="120" w:line="276" w:lineRule="auto" w:before="0"/>
      </w:pPr>
      <w:r>
        <w:rPr>
          <w:rFonts w:ascii="Calibri" w:hAnsi="Calibri"/>
          <w:b/>
          <w:color w:val="282828"/>
          <w:sz w:val="21"/>
        </w:rPr>
        <w:t xml:space="preserve">Type 2: Context-Free Grammars (CFG). </w:t>
      </w:r>
      <w:r>
        <w:rPr>
          <w:rFonts w:ascii="Calibri" w:hAnsi="Calibri"/>
          <w:color w:val="282828"/>
          <w:sz w:val="21"/>
        </w:rPr>
        <w:t>Production rules are strictly restricted such that the left-hand side consists of exactly one non-terminal symbol: A → β, where A ∈ V and β ∈ (V ∪ Σ)*. The replacement of A by β occurs unconditionally, completely independent of the surrounding context. Languages generated are Context-Free Languages (CFLs).</w:t>
      </w:r>
    </w:p>
    <w:p>
      <w:pPr>
        <w:spacing w:after="120" w:line="276" w:lineRule="auto" w:before="0"/>
      </w:pPr>
      <w:r>
        <w:rPr>
          <w:rFonts w:ascii="Calibri" w:hAnsi="Calibri"/>
          <w:b/>
          <w:color w:val="282828"/>
          <w:sz w:val="21"/>
        </w:rPr>
        <w:t xml:space="preserve">Type 3: Regular Grammars (RG). </w:t>
      </w:r>
      <w:r>
        <w:rPr>
          <w:rFonts w:ascii="Calibri" w:hAnsi="Calibri"/>
          <w:color w:val="282828"/>
          <w:sz w:val="21"/>
        </w:rPr>
        <w:t>Production rules are restricted to either right-linear form (A → aB or A → a) or left-linear form (A → Ba or A → a), where A, B ∈ V and a ∈ Σ ∪ {ε}. Mixing right-linear and left-linear rules within the same grammar is prohibited. Languages generated are Regular Languages (REG).</w:t>
      </w:r>
    </w:p>
    <w:p>
      <w:pPr>
        <w:keepNext/>
        <w:spacing w:before="240" w:after="80"/>
      </w:pPr>
      <w:r>
        <w:rPr>
          <w:rFonts w:ascii="Calibri" w:hAnsi="Calibri"/>
          <w:b/>
          <w:color w:val="1E5A96"/>
          <w:sz w:val="24"/>
        </w:rPr>
        <w:t>2.3 Dual Automata Architectures</w:t>
      </w:r>
    </w:p>
    <w:p>
      <w:pPr>
        <w:spacing w:after="120" w:line="276" w:lineRule="auto" w:before="0"/>
      </w:pPr>
      <w:r>
        <w:rPr>
          <w:rFonts w:ascii="Calibri" w:hAnsi="Calibri"/>
          <w:color w:val="282828"/>
          <w:sz w:val="21"/>
        </w:rPr>
        <w:t>Each level of the grammatical hierarchy has an equivalent abstract computing machine whose recognition capabilities match the generative power of the grammar class:</w:t>
      </w:r>
    </w:p>
    <w:p>
      <w:pPr>
        <w:pStyle w:val="ListBullet"/>
        <w:spacing w:after="80" w:line="276" w:lineRule="auto" w:before="0"/>
      </w:pPr>
      <w:r>
        <w:rPr>
          <w:rFonts w:ascii="Calibri" w:hAnsi="Calibri"/>
          <w:b/>
          <w:color w:val="282828"/>
          <w:sz w:val="20"/>
        </w:rPr>
        <w:t xml:space="preserve">Level 3: Finite State Automata (FSA). </w:t>
      </w:r>
      <w:r>
        <w:rPr>
          <w:rFonts w:ascii="Calibri" w:hAnsi="Calibri"/>
          <w:color w:val="282828"/>
          <w:sz w:val="20"/>
        </w:rPr>
        <w:t>Deterministic Finite Automaton (DFA) is a 5-tuple M = (Q, Σ, δ, q0, F), where Q is a finite set of states, Σ is the input alphabet, δ: Q × Σ → Q is the transition function, q0 ∈ Q is the start state, and F ⊆ Q is the set of accepting states. A Nondeterministic Finite Automaton (NFA) generalizes δ to Q × (Σ ∪ {ε}) → P(Q). By the Rabin-Scott Powerset Construction theorem, DFAs and NFAs are computationally equivalent, recognizing precisely the class of Type 3 Regular Languages.</w:t>
      </w:r>
    </w:p>
    <w:p>
      <w:pPr>
        <w:pStyle w:val="ListBullet"/>
        <w:spacing w:after="80" w:line="276" w:lineRule="auto" w:before="0"/>
      </w:pPr>
      <w:r>
        <w:rPr>
          <w:rFonts w:ascii="Calibri" w:hAnsi="Calibri"/>
          <w:b/>
          <w:color w:val="282828"/>
          <w:sz w:val="20"/>
        </w:rPr>
        <w:t xml:space="preserve">Level 2: Pushdown Automata (PDA). </w:t>
      </w:r>
      <w:r>
        <w:rPr>
          <w:rFonts w:ascii="Calibri" w:hAnsi="Calibri"/>
          <w:color w:val="282828"/>
          <w:sz w:val="20"/>
        </w:rPr>
        <w:t>Pushdown Automaton (PDA) is a 7-tuple M = (Q, Σ, Γ, δ, q0, z0, F), where Q, Σ, q0, F are as above, Γ is a finite stack alphabet, z0 ∈ Γ is the initial stack bottom marker, and δ: Q × (Σ ∪ {ε}) × Γ → P_finite(Q × Γ*) is the transition function. The PDA augments a finite control with an unbounded Last-In-First-Out (LIFO) stack memory. Crucially, Nondeterministic PDAs (NPDA) recognize all Type 2 Context-Free Languages, whereas Deterministic PDAs (DPDA) recognize only Deterministic Context-Free Languages (DCFL), a strict subset of CFL.</w:t>
      </w:r>
    </w:p>
    <w:p>
      <w:pPr>
        <w:pStyle w:val="ListBullet"/>
        <w:spacing w:after="80" w:line="276" w:lineRule="auto" w:before="0"/>
      </w:pPr>
      <w:r>
        <w:rPr>
          <w:rFonts w:ascii="Calibri" w:hAnsi="Calibri"/>
          <w:b/>
          <w:color w:val="282828"/>
          <w:sz w:val="20"/>
        </w:rPr>
        <w:t xml:space="preserve">Level 1: Linear Bounded Automata (LBA). </w:t>
      </w:r>
      <w:r>
        <w:rPr>
          <w:rFonts w:ascii="Calibri" w:hAnsi="Calibri"/>
          <w:color w:val="282828"/>
          <w:sz w:val="20"/>
        </w:rPr>
        <w:t>Linear Bounded Automaton (LBA) is a restricted non-deterministic Turing machine M = (Q, Σ, Γ, δ, q0, ▷, ◁, F), where ▷ and ◁ are special boundary markers on the tape that cannot be overwritten or crossed. The tape head cannot move beyond the portion of the tape originally occupied by the input string of length n. Thus, memory workspace is bounded linearly by k · n (where k is a constant fixed by the machine definition). By Kuroda's Theorem (1964), LBAs recognize precisely the class of Type 1 Context-Sensitive Languages.</w:t>
      </w:r>
    </w:p>
    <w:p>
      <w:pPr>
        <w:pStyle w:val="ListBullet"/>
        <w:spacing w:after="80" w:line="276" w:lineRule="auto" w:before="0"/>
      </w:pPr>
      <w:r>
        <w:rPr>
          <w:rFonts w:ascii="Calibri" w:hAnsi="Calibri"/>
          <w:b/>
          <w:color w:val="282828"/>
          <w:sz w:val="20"/>
        </w:rPr>
        <w:t xml:space="preserve">Level 0: Turing Machines (TM). </w:t>
      </w:r>
      <w:r>
        <w:rPr>
          <w:rFonts w:ascii="Calibri" w:hAnsi="Calibri"/>
          <w:color w:val="282828"/>
          <w:sz w:val="20"/>
        </w:rPr>
        <w:t>Turing Machine (TM) is a 7-tuple M = (Q, Σ, Γ, δ, q0, q_accept, q_reject), equipped with a finite state control and an infinite, unbounded, two-way readable and writable tape. The transition function δ: Q × Γ → Q × Γ × {L, R} allows arbitrary read, write, and head repositioning. Turing machines accept precisely the class of Type 0 Recursively Enumerable Languages (Turing-Recognizable), while machines that halt on all inputs decide Recursive Languages (Decidable).</w:t>
      </w:r>
    </w:p>
    <w:p>
      <w:pPr>
        <w:keepNext/>
        <w:spacing w:before="320" w:after="120"/>
      </w:pPr>
      <w:r>
        <w:rPr>
          <w:rFonts w:ascii="Calibri" w:hAnsi="Calibri"/>
          <w:b/>
          <w:color w:val="0F2C59"/>
          <w:sz w:val="28"/>
        </w:rPr>
        <w:t>3. Literature Review and Related Scholarly Work</w:t>
      </w:r>
    </w:p>
    <w:p>
      <w:pPr>
        <w:spacing w:after="120" w:line="276" w:lineRule="auto" w:before="0"/>
      </w:pPr>
      <w:r>
        <w:rPr>
          <w:rFonts w:ascii="Calibri" w:hAnsi="Calibri"/>
          <w:color w:val="282828"/>
          <w:sz w:val="21"/>
        </w:rPr>
        <w:t>The evolution of formal language theory represents an extraordinary convergence of mathematical logic, computational complexity, and systems engineering. This section critically synthesizes the seminal foundations and contemporary advancements in formal language hierarchies.</w:t>
      </w:r>
    </w:p>
    <w:p>
      <w:pPr>
        <w:keepNext/>
        <w:spacing w:before="240" w:after="80"/>
      </w:pPr>
      <w:r>
        <w:rPr>
          <w:rFonts w:ascii="Calibri" w:hAnsi="Calibri"/>
          <w:b/>
          <w:color w:val="1E5A96"/>
          <w:sz w:val="24"/>
        </w:rPr>
        <w:t>3.1 Historical Genesis and Structural Foundations</w:t>
      </w:r>
    </w:p>
    <w:p>
      <w:pPr>
        <w:spacing w:after="120" w:line="276" w:lineRule="auto" w:before="0"/>
      </w:pPr>
      <w:r>
        <w:rPr>
          <w:rFonts w:ascii="Calibri" w:hAnsi="Calibri"/>
          <w:color w:val="282828"/>
          <w:sz w:val="21"/>
        </w:rPr>
        <w:t>Noam Chomsky's foundational papers (1956, 1959) established that natural language syntax could not be captured by finite-state Markovian processes, necessitating phrase-structure grammars with nested recursive capabilities. Concurrently, Backus (1959) and Naur (1960) developed what became known as Backus-Naur Form (BNF) to specify the syntax of ALGOL 60. Ginsburg and Rice (1962) formally demonstrated that BNF is mathematically identical to Chomsky's context-free grammars. Bar-Hillel, Perles, and Shamir (1961) formalized the algebraic properties of context-free languages, introducing the canonical uvwxy pumping lemma, which provided the first systematic analytical tool for proving non-context-freeness.</w:t>
      </w:r>
    </w:p>
    <w:p>
      <w:pPr>
        <w:spacing w:after="120" w:line="276" w:lineRule="auto" w:before="0"/>
      </w:pPr>
      <w:r>
        <w:rPr>
          <w:rFonts w:ascii="Calibri" w:hAnsi="Calibri"/>
          <w:color w:val="282828"/>
          <w:sz w:val="21"/>
        </w:rPr>
        <w:t>The classification of context-sensitive languages achieved a major breakthrough when S. Y. Kuroda (1964) established the exact equivalence between Type 1 grammars and Linear Bounded Automata. Kuroda posed two profound open questions: (1) Is the class of context-sensitive languages closed under complementation? (2) Are deterministic LBAs equivalent to non-deterministic LBAs? The first question remained open for nearly a quarter of a century until Neil Immerman (1988) and Róbert Szelepcsényi (1987) independently proved the celebrated Immerman-Szelepcsényi Theorem: NSPACE(s(n)) = co-NSPACE(s(n)) for s(n) &gt;= log(n). Consequently, for s(n) = n, CSL is closed under complementation. The second LBA problem—whether DLBA = NLBA—remains one of the most profound open problems in complexity theory, directly tied to whether L = NL and P = PSPACE.</w:t>
      </w:r>
    </w:p>
    <w:p>
      <w:pPr>
        <w:keepNext/>
        <w:spacing w:before="240" w:after="80"/>
      </w:pPr>
      <w:r>
        <w:rPr>
          <w:rFonts w:ascii="Calibri" w:hAnsi="Calibri"/>
          <w:b/>
          <w:color w:val="1E5A96"/>
          <w:sz w:val="24"/>
        </w:rPr>
        <w:t>3.2 The Determinism Divergence and Compiler Grammars</w:t>
      </w:r>
    </w:p>
    <w:p>
      <w:pPr>
        <w:spacing w:after="120" w:line="276" w:lineRule="auto" w:before="0"/>
      </w:pPr>
      <w:r>
        <w:rPr>
          <w:rFonts w:ascii="Calibri" w:hAnsi="Calibri"/>
          <w:color w:val="282828"/>
          <w:sz w:val="21"/>
        </w:rPr>
        <w:t>A vital theoretical distinction across the hierarchy concerns the computational equivalence of deterministic and non-deterministic machines. While Rabin and Scott (1959) proved that DFA = NFA for regular languages, the equivalence collapses entirely at Level 2. In 1965, Donald Knuth published his seminal paper on LR(k) grammars, demonstrating that deterministic pushdown automata (DPDAs) recognize exactly the deterministic context-free languages (DCFLs). Knuth proved that DCFLs form a strict subclass of CFLs (DCFL ⊊ CFL) and can be parsed deterministically in linear time O(n), forming the intellectual foundation for modern compiler construction tools including Yacc, Bison, and ANTLR.</w:t>
      </w:r>
    </w:p>
    <w:p>
      <w:pPr>
        <w:keepNext/>
        <w:spacing w:before="240" w:after="80"/>
      </w:pPr>
      <w:r>
        <w:rPr>
          <w:rFonts w:ascii="Calibri" w:hAnsi="Calibri"/>
          <w:b/>
          <w:color w:val="1E5A96"/>
          <w:sz w:val="24"/>
        </w:rPr>
        <w:t>3.3 Contemporary Research: LangSec and Neural Formal Bounds</w:t>
      </w:r>
    </w:p>
    <w:p>
      <w:pPr>
        <w:spacing w:after="120" w:line="276" w:lineRule="auto" w:before="0"/>
      </w:pPr>
      <w:r>
        <w:rPr>
          <w:rFonts w:ascii="Calibri" w:hAnsi="Calibri"/>
          <w:color w:val="282828"/>
          <w:sz w:val="21"/>
        </w:rPr>
        <w:t>In recent years, the Chomsky Hierarchy has experienced a renaissance in two cutting-edge subfields of computer science: cybersecurity and deep learning.</w:t>
      </w:r>
    </w:p>
    <w:p>
      <w:pPr>
        <w:spacing w:after="120" w:line="276" w:lineRule="auto" w:before="0"/>
      </w:pPr>
      <w:r>
        <w:rPr>
          <w:rFonts w:ascii="Calibri" w:hAnsi="Calibri"/>
          <w:color w:val="282828"/>
          <w:sz w:val="21"/>
        </w:rPr>
        <w:t>Language-Theoretic Security (LangSec), pioneered by Meredith Patterson, Len Sassaman, and Sergey Bratus (2011, 2017), posits that the vast majority of critical software vulnerabilities (including injection flaws, remote code execution, and heartbleed-style buffer over-reads) stem from viewing untrusted input handling as an ad-hoc sanitization problem rather than a formal language parsing problem. LangSec proves that when network protocols and file formats exceed regular or deterministic context-free expressivity, parser validation becomes intractable or undecidable, turning the parsing engine into a Turing-complete 'weird machine' that can be manipulated by malicious payloads. LangSec advocates that all secure network and systems protocols must be constrained to deterministic, decidable Chomsky classes.</w:t>
      </w:r>
    </w:p>
    <w:p>
      <w:pPr>
        <w:spacing w:after="120" w:line="276" w:lineRule="auto" w:before="0"/>
      </w:pPr>
      <w:r>
        <w:rPr>
          <w:rFonts w:ascii="Calibri" w:hAnsi="Calibri"/>
          <w:color w:val="282828"/>
          <w:sz w:val="21"/>
        </w:rPr>
        <w:t>Concurrently, the artificial intelligence community has utilized the Chomsky hierarchy to rigorously evaluate the expressive limits of modern neural architectures. Merrill et al. (2022) and Delétang et al. (ICLR 2023) established formal bounds on the language recognition capacity of Transformers, Recurrent Neural Networks (RNNs), and Long Short-Term Memory networks (LSTMs). Delétang et al. empirically proved that standard self-attention mechanisms fail to generalize on context-free parity languages ($a^n b^n$) and context-sensitive languages ($a^n b^n c^n$) when tested beyond their training sequence lengths, demonstrating that neural architectures without explicit external stack or tape memory cannot fully transcend the regular or sub-context-free boundaries of the hierarchy.</w:t>
      </w:r>
    </w:p>
    <w:p>
      <w:pPr>
        <w:keepNext/>
        <w:spacing w:before="320" w:after="120"/>
      </w:pPr>
      <w:r>
        <w:rPr>
          <w:rFonts w:ascii="Calibri" w:hAnsi="Calibri"/>
          <w:b/>
          <w:color w:val="0F2C59"/>
          <w:sz w:val="28"/>
        </w:rPr>
        <w:t>4. Technical Analysis: Separations, Proofs, and Comparative Machinery</w:t>
      </w:r>
    </w:p>
    <w:p>
      <w:pPr>
        <w:spacing w:after="120" w:line="276" w:lineRule="auto" w:before="0"/>
      </w:pPr>
      <w:r>
        <w:rPr>
          <w:rFonts w:ascii="Calibri" w:hAnsi="Calibri"/>
          <w:color w:val="282828"/>
          <w:sz w:val="21"/>
        </w:rPr>
        <w:t>The core theoretical contribution of the Chomsky hierarchy lies in the strict proper containment theorem: REG ⊊ CFL ⊊ CSL ⊊ REC ⊊ RE ⊊ 2^(Σ*). In this section, we present rigorous formal proofs separating each level, construct canonical automata and grammars, and systematically analyze closure properties and decidability limits.</w:t>
      </w:r>
    </w:p>
    <w:p>
      <w:pPr>
        <w:keepNext/>
        <w:spacing w:before="240" w:after="80"/>
      </w:pPr>
      <w:r>
        <w:rPr>
          <w:rFonts w:ascii="Calibri" w:hAnsi="Calibri"/>
          <w:b/>
          <w:color w:val="1E5A96"/>
          <w:sz w:val="24"/>
        </w:rPr>
        <w:t>4.1 Separating Level 3 and Level 2: Non-Regularity of L1 = {0^n 1^n | n &gt;= 1}</w:t>
      </w:r>
    </w:p>
    <w:p>
      <w:pPr>
        <w:spacing w:after="120" w:line="276" w:lineRule="auto" w:before="0"/>
      </w:pPr>
      <w:r>
        <w:rPr>
          <w:rFonts w:ascii="Calibri" w:hAnsi="Calibri"/>
          <w:b/>
          <w:color w:val="282828"/>
          <w:sz w:val="21"/>
        </w:rPr>
        <w:t xml:space="preserve">Theorem 1 (Pumping Lemma for Regular Languages): </w:t>
      </w:r>
      <w:r>
        <w:rPr>
          <w:rFonts w:ascii="Calibri" w:hAnsi="Calibri"/>
          <w:color w:val="282828"/>
          <w:sz w:val="21"/>
        </w:rPr>
        <w:t>To prove that a language resides strictly at Level 2 and cannot be recognized at Level 3, we utilize the Pumping Lemma for Regular Languages.</w:t>
      </w:r>
    </w:p>
    <w:p>
      <w:pPr>
        <w:spacing w:after="120" w:line="276" w:lineRule="auto" w:before="0"/>
      </w:pPr>
      <w:r>
        <w:rPr>
          <w:rFonts w:ascii="Calibri" w:hAnsi="Calibri"/>
          <w:color w:val="282828"/>
          <w:sz w:val="21"/>
        </w:rPr>
        <w:t>If L is a regular language, then there exists a constant p &gt;= 1 (the pumping length) such that for any string s ∈ L with |s| &gt;= p, s can be divided into three substrings s = xyz satisfying: (1) |y| &gt; 0, (2) |xy| ≤ p, and (3) for all i &gt;= 0, x(y^i)z ∈ L.</w:t>
      </w:r>
    </w:p>
    <w:p>
      <w:pPr>
        <w:spacing w:after="120" w:line="276" w:lineRule="auto" w:before="0"/>
      </w:pPr>
      <w:r>
        <w:rPr>
          <w:rFonts w:ascii="Calibri" w:hAnsi="Calibri"/>
          <w:b/>
          <w:color w:val="282828"/>
          <w:sz w:val="21"/>
        </w:rPr>
        <w:t xml:space="preserve">Proof (By Contradiction): </w:t>
      </w:r>
      <w:r>
        <w:rPr>
          <w:rFonts w:ascii="Calibri" w:hAnsi="Calibri"/>
          <w:color w:val="282828"/>
          <w:sz w:val="21"/>
        </w:rPr>
        <w:t>Proof of Non-Regularity of L1 = {0^n 1^n | n &gt;= 1}:</w:t>
      </w:r>
    </w:p>
    <w:p>
      <w:pPr>
        <w:pStyle w:val="ListBullet"/>
        <w:spacing w:after="80" w:line="276" w:lineRule="auto" w:before="0"/>
      </w:pPr>
      <w:r>
        <w:rPr>
          <w:rFonts w:ascii="Calibri" w:hAnsi="Calibri"/>
          <w:b/>
          <w:color w:val="282828"/>
          <w:sz w:val="20"/>
        </w:rPr>
        <w:t xml:space="preserve">Step 1: </w:t>
      </w:r>
      <w:r>
        <w:rPr>
          <w:rFonts w:ascii="Calibri" w:hAnsi="Calibri"/>
          <w:color w:val="282828"/>
          <w:sz w:val="20"/>
        </w:rPr>
        <w:t>Assume, for contradiction, that L1 is regular. Therefore, L1 must satisfy the Pumping Lemma with some pumping length p &gt;= 1.</w:t>
      </w:r>
    </w:p>
    <w:p>
      <w:pPr>
        <w:pStyle w:val="ListBullet"/>
        <w:spacing w:after="80" w:line="276" w:lineRule="auto" w:before="0"/>
      </w:pPr>
      <w:r>
        <w:rPr>
          <w:rFonts w:ascii="Calibri" w:hAnsi="Calibri"/>
          <w:b/>
          <w:color w:val="282828"/>
          <w:sz w:val="20"/>
        </w:rPr>
        <w:t xml:space="preserve">Step 2: </w:t>
      </w:r>
      <w:r>
        <w:rPr>
          <w:rFonts w:ascii="Calibri" w:hAnsi="Calibri"/>
          <w:color w:val="282828"/>
          <w:sz w:val="20"/>
        </w:rPr>
        <w:t>Select the test string s = 0^p 1^p. Clearly, s ∈ L1 and |s| = 2p &gt;= p.</w:t>
      </w:r>
    </w:p>
    <w:p>
      <w:pPr>
        <w:pStyle w:val="ListBullet"/>
        <w:spacing w:after="80" w:line="276" w:lineRule="auto" w:before="0"/>
      </w:pPr>
      <w:r>
        <w:rPr>
          <w:rFonts w:ascii="Calibri" w:hAnsi="Calibri"/>
          <w:b/>
          <w:color w:val="282828"/>
          <w:sz w:val="20"/>
        </w:rPr>
        <w:t xml:space="preserve">Step 3: </w:t>
      </w:r>
      <w:r>
        <w:rPr>
          <w:rFonts w:ascii="Calibri" w:hAnsi="Calibri"/>
          <w:color w:val="282828"/>
          <w:sz w:val="20"/>
        </w:rPr>
        <w:t>By condition (2), |xy| ≤ p. Since the first p symbols of s consist exclusively of '0's, the substring xy must be contained entirely within the leading block of '0's. Consequently, x = 0^k, y = 0^m, and z = 0^(p-k-m) 1^p, where m = |y| &gt; 0 and k + m ≤ p.</w:t>
      </w:r>
    </w:p>
    <w:p>
      <w:pPr>
        <w:pStyle w:val="ListBullet"/>
        <w:spacing w:after="80" w:line="276" w:lineRule="auto" w:before="0"/>
      </w:pPr>
      <w:r>
        <w:rPr>
          <w:rFonts w:ascii="Calibri" w:hAnsi="Calibri"/>
          <w:b/>
          <w:color w:val="282828"/>
          <w:sz w:val="20"/>
        </w:rPr>
        <w:t xml:space="preserve">Step 4: </w:t>
      </w:r>
      <w:r>
        <w:rPr>
          <w:rFonts w:ascii="Calibri" w:hAnsi="Calibri"/>
          <w:color w:val="282828"/>
          <w:sz w:val="20"/>
        </w:rPr>
        <w:t>By condition (3), x(y^i)z must belong to L1 for all i &gt;= 0. Consider the pumped string for i = 2: s' = x(y^2)z = 0^(p+m) 1^p. Because m &gt; 0, the number of '0's is p + m, while the number of '1's remains p. Since p + m != p, s' ∉ L1.</w:t>
      </w:r>
    </w:p>
    <w:p>
      <w:pPr>
        <w:pStyle w:val="ListBullet"/>
        <w:spacing w:after="80" w:line="276" w:lineRule="auto" w:before="0"/>
      </w:pPr>
      <w:r>
        <w:rPr>
          <w:rFonts w:ascii="Calibri" w:hAnsi="Calibri"/>
          <w:b/>
          <w:color w:val="282828"/>
          <w:sz w:val="20"/>
        </w:rPr>
        <w:t xml:space="preserve">Conclusion: </w:t>
      </w:r>
      <w:r>
        <w:rPr>
          <w:rFonts w:ascii="Calibri" w:hAnsi="Calibri"/>
          <w:color w:val="282828"/>
          <w:sz w:val="20"/>
        </w:rPr>
        <w:t>This direct contradiction demonstrates that our initial assumption was false. Thus, L1 is NOT a regular language (L1 ∉ REG).</w:t>
      </w:r>
    </w:p>
    <w:p>
      <w:pPr>
        <w:keepNext/>
        <w:spacing w:before="160" w:after="40"/>
      </w:pPr>
      <w:r>
        <w:rPr>
          <w:rFonts w:ascii="Calibri" w:hAnsi="Calibri"/>
          <w:b/>
          <w:i/>
          <w:color w:val="282828"/>
          <w:sz w:val="21"/>
        </w:rPr>
        <w:t>Formal Grammar and PDA Construction for L1</w:t>
      </w:r>
    </w:p>
    <w:p>
      <w:pPr>
        <w:spacing w:after="120" w:line="276" w:lineRule="auto" w:before="0"/>
      </w:pPr>
      <w:r>
        <w:rPr>
          <w:rFonts w:ascii="Calibri" w:hAnsi="Calibri"/>
          <w:color w:val="282828"/>
          <w:sz w:val="21"/>
        </w:rPr>
        <w:t>Although L1 cannot be generated by a Type 3 grammar, it is readily generated by the following Type 2 Context-Free Grammar G1 = ({S}, {0, 1}, R, S): R: S → 0 S 1 | 0 1. Derivation of 0^3 1^3: S ⇒ 0S1 ⇒ 00S11 ⇒ 000111.</w:t>
      </w:r>
    </w:p>
    <w:p>
      <w:pPr>
        <w:spacing w:after="120" w:line="276" w:lineRule="auto" w:before="0"/>
      </w:pPr>
      <w:r>
        <w:rPr>
          <w:rFonts w:ascii="Calibri" w:hAnsi="Calibri"/>
          <w:color w:val="282828"/>
          <w:sz w:val="21"/>
        </w:rPr>
        <w:t>The corresponding Deterministic Pushdown Automaton (DPDA) recognizing L1 by final state is formally defined as M1 = (Q, Σ, Γ, δ, q0, z0, F), where: Q = {q0, q1, q2, q_accept}, Σ = {0, 1}, Γ = {X, z0}, Start state = q0, Start stack symbol = z0, Accepting states F = {q_accept}. The transition function δ is defined as follows:</w:t>
      </w:r>
    </w:p>
    <w:p>
      <w:pPr>
        <w:pStyle w:val="ListBullet"/>
        <w:spacing w:after="80" w:line="276" w:lineRule="auto" w:before="0"/>
      </w:pPr>
      <w:r>
        <w:rPr>
          <w:rFonts w:ascii="Calibri" w:hAnsi="Calibri"/>
          <w:b/>
          <w:color w:val="282828"/>
          <w:sz w:val="20"/>
        </w:rPr>
        <w:t xml:space="preserve">Transition 1: </w:t>
      </w:r>
      <w:r>
        <w:rPr>
          <w:rFonts w:ascii="Calibri" w:hAnsi="Calibri"/>
          <w:color w:val="282828"/>
          <w:sz w:val="20"/>
        </w:rPr>
        <w:t>δ(q0, 0, z0) = (q1, X z0)  [Read first '0', push marker X onto stack]</w:t>
      </w:r>
    </w:p>
    <w:p>
      <w:pPr>
        <w:pStyle w:val="ListBullet"/>
        <w:spacing w:after="80" w:line="276" w:lineRule="auto" w:before="0"/>
      </w:pPr>
      <w:r>
        <w:rPr>
          <w:rFonts w:ascii="Calibri" w:hAnsi="Calibri"/>
          <w:b/>
          <w:color w:val="282828"/>
          <w:sz w:val="20"/>
        </w:rPr>
        <w:t xml:space="preserve">Transition 2: </w:t>
      </w:r>
      <w:r>
        <w:rPr>
          <w:rFonts w:ascii="Calibri" w:hAnsi="Calibri"/>
          <w:color w:val="282828"/>
          <w:sz w:val="20"/>
        </w:rPr>
        <w:t>δ(q1, 0, X) = (q1, X X)     [Read subsequent '0's, push X for each '0']</w:t>
      </w:r>
    </w:p>
    <w:p>
      <w:pPr>
        <w:pStyle w:val="ListBullet"/>
        <w:spacing w:after="80" w:line="276" w:lineRule="auto" w:before="0"/>
      </w:pPr>
      <w:r>
        <w:rPr>
          <w:rFonts w:ascii="Calibri" w:hAnsi="Calibri"/>
          <w:b/>
          <w:color w:val="282828"/>
          <w:sz w:val="20"/>
        </w:rPr>
        <w:t xml:space="preserve">Transition 3: </w:t>
      </w:r>
      <w:r>
        <w:rPr>
          <w:rFonts w:ascii="Calibri" w:hAnsi="Calibri"/>
          <w:color w:val="282828"/>
          <w:sz w:val="20"/>
        </w:rPr>
        <w:t>δ(q1, 1, X) = (q2, ε)       [Read first '1', match and pop X]</w:t>
      </w:r>
    </w:p>
    <w:p>
      <w:pPr>
        <w:pStyle w:val="ListBullet"/>
        <w:spacing w:after="80" w:line="276" w:lineRule="auto" w:before="0"/>
      </w:pPr>
      <w:r>
        <w:rPr>
          <w:rFonts w:ascii="Calibri" w:hAnsi="Calibri"/>
          <w:b/>
          <w:color w:val="282828"/>
          <w:sz w:val="20"/>
        </w:rPr>
        <w:t xml:space="preserve">Transition 4: </w:t>
      </w:r>
      <w:r>
        <w:rPr>
          <w:rFonts w:ascii="Calibri" w:hAnsi="Calibri"/>
          <w:color w:val="282828"/>
          <w:sz w:val="20"/>
        </w:rPr>
        <w:t>δ(q2, 1, X) = (q2, ε)       [Read subsequent '1's, match and pop X]</w:t>
      </w:r>
    </w:p>
    <w:p>
      <w:pPr>
        <w:pStyle w:val="ListBullet"/>
        <w:spacing w:after="80" w:line="276" w:lineRule="auto" w:before="0"/>
      </w:pPr>
      <w:r>
        <w:rPr>
          <w:rFonts w:ascii="Calibri" w:hAnsi="Calibri"/>
          <w:b/>
          <w:color w:val="282828"/>
          <w:sz w:val="20"/>
        </w:rPr>
        <w:t xml:space="preserve">Transition 5: </w:t>
      </w:r>
      <w:r>
        <w:rPr>
          <w:rFonts w:ascii="Calibri" w:hAnsi="Calibri"/>
          <w:color w:val="282828"/>
          <w:sz w:val="20"/>
        </w:rPr>
        <w:t>δ(q2, ε, z0) = (q_accept, z0) [Input exhausted, stack balanced at z0 → Accept]</w:t>
      </w:r>
    </w:p>
    <w:p>
      <w:pPr>
        <w:spacing w:after="120" w:line="276" w:lineRule="auto" w:before="0"/>
      </w:pPr>
      <w:r>
        <w:rPr>
          <w:rFonts w:ascii="Calibri" w:hAnsi="Calibri"/>
          <w:color w:val="282828"/>
          <w:sz w:val="21"/>
        </w:rPr>
        <w:t>Because each configuration has at most one valid move, M1 is a DPDA, proving that L1 is a Deterministic Context-Free Language (L1 ∈ DCFL ⊂ CFL).</w:t>
      </w:r>
    </w:p>
    <w:p>
      <w:pPr>
        <w:keepNext/>
        <w:spacing w:before="240" w:after="80"/>
      </w:pPr>
      <w:r>
        <w:rPr>
          <w:rFonts w:ascii="Calibri" w:hAnsi="Calibri"/>
          <w:b/>
          <w:color w:val="1E5A96"/>
          <w:sz w:val="24"/>
        </w:rPr>
        <w:t>4.2 Separating Level 2 and Level 1: Non-Context-Freeness of L2 = {a^n b^n c^n | n &gt;= 1}</w:t>
      </w:r>
    </w:p>
    <w:p>
      <w:pPr>
        <w:spacing w:after="120" w:line="276" w:lineRule="auto" w:before="0"/>
      </w:pPr>
      <w:r>
        <w:rPr>
          <w:rFonts w:ascii="Calibri" w:hAnsi="Calibri"/>
          <w:b/>
          <w:color w:val="282828"/>
          <w:sz w:val="21"/>
        </w:rPr>
        <w:t xml:space="preserve">Theorem 2 (Pumping Lemma for Context-Free Languages): </w:t>
      </w:r>
      <w:r>
        <w:rPr>
          <w:rFonts w:ascii="Calibri" w:hAnsi="Calibri"/>
          <w:color w:val="282828"/>
          <w:sz w:val="21"/>
        </w:rPr>
        <w:t>To establish that the stack memory of a Pushdown Automaton is strictly insufficient to recognize multiple cross-serial dependencies, we apply the Pumping Lemma for Context-Free Languages.</w:t>
      </w:r>
    </w:p>
    <w:p>
      <w:pPr>
        <w:spacing w:after="120" w:line="276" w:lineRule="auto" w:before="0"/>
      </w:pPr>
      <w:r>
        <w:rPr>
          <w:rFonts w:ascii="Calibri" w:hAnsi="Calibri"/>
          <w:color w:val="282828"/>
          <w:sz w:val="21"/>
        </w:rPr>
        <w:t>If L is a context-free language, then there exists a pumping length p &gt;= 1 such that any string s ∈ L with |s| &gt;= p can be partitioned into five substrings s = uvwxy satisfying: (1) |vx| &gt; 0 (at least one of v or x is non-empty), (2) |vwx| ≤ p, and (3) for all i &gt;= 0, u(v^i)w(x^i)y ∈ L.</w:t>
      </w:r>
    </w:p>
    <w:p>
      <w:pPr>
        <w:spacing w:after="120" w:line="276" w:lineRule="auto" w:before="0"/>
      </w:pPr>
      <w:r>
        <w:rPr>
          <w:rFonts w:ascii="Calibri" w:hAnsi="Calibri"/>
          <w:b/>
          <w:color w:val="282828"/>
          <w:sz w:val="21"/>
        </w:rPr>
        <w:t xml:space="preserve">Proof (By Contradiction): </w:t>
      </w:r>
      <w:r>
        <w:rPr>
          <w:rFonts w:ascii="Calibri" w:hAnsi="Calibri"/>
          <w:color w:val="282828"/>
          <w:sz w:val="21"/>
        </w:rPr>
        <w:t>Proof of Non-Context-Freeness of L2 = {a^n b^n c^n | n &gt;= 1}:</w:t>
      </w:r>
    </w:p>
    <w:p>
      <w:pPr>
        <w:pStyle w:val="ListBullet"/>
        <w:spacing w:after="80" w:line="276" w:lineRule="auto" w:before="0"/>
      </w:pPr>
      <w:r>
        <w:rPr>
          <w:rFonts w:ascii="Calibri" w:hAnsi="Calibri"/>
          <w:b/>
          <w:color w:val="282828"/>
          <w:sz w:val="20"/>
        </w:rPr>
        <w:t xml:space="preserve">Step 1: </w:t>
      </w:r>
      <w:r>
        <w:rPr>
          <w:rFonts w:ascii="Calibri" w:hAnsi="Calibri"/>
          <w:color w:val="282828"/>
          <w:sz w:val="20"/>
        </w:rPr>
        <w:t>Assume, for contradiction, that L2 is context-free. Let p be the pumping length guaranteed by Theorem 2.</w:t>
      </w:r>
    </w:p>
    <w:p>
      <w:pPr>
        <w:pStyle w:val="ListBullet"/>
        <w:spacing w:after="80" w:line="276" w:lineRule="auto" w:before="0"/>
      </w:pPr>
      <w:r>
        <w:rPr>
          <w:rFonts w:ascii="Calibri" w:hAnsi="Calibri"/>
          <w:b/>
          <w:color w:val="282828"/>
          <w:sz w:val="20"/>
        </w:rPr>
        <w:t xml:space="preserve">Step 2: </w:t>
      </w:r>
      <w:r>
        <w:rPr>
          <w:rFonts w:ascii="Calibri" w:hAnsi="Calibri"/>
          <w:color w:val="282828"/>
          <w:sz w:val="20"/>
        </w:rPr>
        <w:t>Choose the test string s = a^p b^p c^p. Clearly, s ∈ L2 and |s| = 3p &gt;= p.</w:t>
      </w:r>
    </w:p>
    <w:p>
      <w:pPr>
        <w:pStyle w:val="ListBullet"/>
        <w:spacing w:after="80" w:line="276" w:lineRule="auto" w:before="0"/>
      </w:pPr>
      <w:r>
        <w:rPr>
          <w:rFonts w:ascii="Calibri" w:hAnsi="Calibri"/>
          <w:b/>
          <w:color w:val="282828"/>
          <w:sz w:val="20"/>
        </w:rPr>
        <w:t xml:space="preserve">Step 3: </w:t>
      </w:r>
      <w:r>
        <w:rPr>
          <w:rFonts w:ascii="Calibri" w:hAnsi="Calibri"/>
          <w:color w:val="282828"/>
          <w:sz w:val="20"/>
        </w:rPr>
        <w:t>Examine the substring vwx. By condition (2), |vwx| ≤ p. Because the length of vwx is bounded by p, the substring vwx can span at most two distinct symbol types from the set {a, b, c}. It is impossible for vwx to contain 'a's, 'b's, and 'c's simultaneously.</w:t>
      </w:r>
    </w:p>
    <w:p>
      <w:pPr>
        <w:pStyle w:val="ListBullet"/>
        <w:spacing w:after="80" w:line="276" w:lineRule="auto" w:before="0"/>
      </w:pPr>
      <w:r>
        <w:rPr>
          <w:rFonts w:ascii="Calibri" w:hAnsi="Calibri"/>
          <w:b/>
          <w:color w:val="282828"/>
          <w:sz w:val="20"/>
        </w:rPr>
        <w:t xml:space="preserve">Step 4: </w:t>
      </w:r>
      <w:r>
        <w:rPr>
          <w:rFonts w:ascii="Calibri" w:hAnsi="Calibri"/>
          <w:color w:val="282828"/>
          <w:sz w:val="20"/>
        </w:rPr>
        <w:t xml:space="preserve">Case Analysis on the composition of vx: </w:t>
        <w:br/>
        <w:t xml:space="preserve">  • Case A: vx contains symbols of only one type (only 'a's, only 'b's, or only 'c's). When we pump to i = 2, the string u(v^2)w(x^2)y increases the count of that single symbol type while leaving the counts of the other two symbol types unchanged. Thus, the counts are unequal, so s' ∉ L2.</w:t>
        <w:br/>
        <w:t xml:space="preserve">  • Case B: vx contains symbols of two adjacent types (either 'a's and 'b's, or 'b's and 'c's). When we pump to i = 2, the counts of those two symbol types increase, while the count of the third symbol type remains strictly p. Consequently, the three symbol counts cannot be equal, so s' ∉ L2.</w:t>
      </w:r>
    </w:p>
    <w:p>
      <w:pPr>
        <w:pStyle w:val="ListBullet"/>
        <w:spacing w:after="80" w:line="276" w:lineRule="auto" w:before="0"/>
      </w:pPr>
      <w:r>
        <w:rPr>
          <w:rFonts w:ascii="Calibri" w:hAnsi="Calibri"/>
          <w:b/>
          <w:color w:val="282828"/>
          <w:sz w:val="20"/>
        </w:rPr>
        <w:t xml:space="preserve">Conclusion: </w:t>
      </w:r>
      <w:r>
        <w:rPr>
          <w:rFonts w:ascii="Calibri" w:hAnsi="Calibri"/>
          <w:color w:val="282828"/>
          <w:sz w:val="20"/>
        </w:rPr>
        <w:t>In all possible cases, u(v^2)w(x^2)y ∉ L2, directly violating condition (3). Therefore, L2 is NOT context-free (L2 ∉ CFL).</w:t>
      </w:r>
    </w:p>
    <w:p>
      <w:pPr>
        <w:keepNext/>
        <w:spacing w:before="160" w:after="40"/>
      </w:pPr>
      <w:r>
        <w:rPr>
          <w:rFonts w:ascii="Calibri" w:hAnsi="Calibri"/>
          <w:b/>
          <w:i/>
          <w:color w:val="282828"/>
          <w:sz w:val="21"/>
        </w:rPr>
        <w:t>Context-Sensitive Grammar (CSG) and LBA Recognition for L2</w:t>
      </w:r>
    </w:p>
    <w:p>
      <w:pPr>
        <w:spacing w:after="120" w:line="276" w:lineRule="auto" w:before="0"/>
      </w:pPr>
      <w:r>
        <w:rPr>
          <w:rFonts w:ascii="Calibri" w:hAnsi="Calibri"/>
          <w:color w:val="282828"/>
          <w:sz w:val="21"/>
        </w:rPr>
        <w:t>While impossible for a PDA, L2 is generated by a Type 1 Context-Sensitive Grammar G2 = ({S, B, C}, {a, b, c}, R, S) defined with the following rules:</w:t>
      </w:r>
    </w:p>
    <w:p>
      <w:pPr>
        <w:pStyle w:val="ListBullet"/>
        <w:spacing w:after="80" w:line="276" w:lineRule="auto" w:before="0"/>
      </w:pPr>
      <w:r>
        <w:rPr>
          <w:rFonts w:ascii="Calibri" w:hAnsi="Calibri"/>
          <w:b/>
          <w:color w:val="282828"/>
          <w:sz w:val="20"/>
        </w:rPr>
        <w:t xml:space="preserve">Rule Group 1: </w:t>
      </w:r>
      <w:r>
        <w:rPr>
          <w:rFonts w:ascii="Calibri" w:hAnsi="Calibri"/>
          <w:color w:val="282828"/>
          <w:sz w:val="20"/>
        </w:rPr>
        <w:t>S → a S B C | a B C         [Generate equal counts of a, B, C in sequence]</w:t>
      </w:r>
    </w:p>
    <w:p>
      <w:pPr>
        <w:pStyle w:val="ListBullet"/>
        <w:spacing w:after="80" w:line="276" w:lineRule="auto" w:before="0"/>
      </w:pPr>
      <w:r>
        <w:rPr>
          <w:rFonts w:ascii="Calibri" w:hAnsi="Calibri"/>
          <w:b/>
          <w:color w:val="282828"/>
          <w:sz w:val="20"/>
        </w:rPr>
        <w:t xml:space="preserve">Rule Group 2: </w:t>
      </w:r>
      <w:r>
        <w:rPr>
          <w:rFonts w:ascii="Calibri" w:hAnsi="Calibri"/>
          <w:color w:val="282828"/>
          <w:sz w:val="20"/>
        </w:rPr>
        <w:t>C B → B C                   [Permute non-terminals into sorted canonical order]</w:t>
      </w:r>
    </w:p>
    <w:p>
      <w:pPr>
        <w:pStyle w:val="ListBullet"/>
        <w:spacing w:after="80" w:line="276" w:lineRule="auto" w:before="0"/>
      </w:pPr>
      <w:r>
        <w:rPr>
          <w:rFonts w:ascii="Calibri" w:hAnsi="Calibri"/>
          <w:b/>
          <w:color w:val="282828"/>
          <w:sz w:val="20"/>
        </w:rPr>
        <w:t xml:space="preserve">Rule Group 3: </w:t>
      </w:r>
      <w:r>
        <w:rPr>
          <w:rFonts w:ascii="Calibri" w:hAnsi="Calibri"/>
          <w:color w:val="282828"/>
          <w:sz w:val="20"/>
        </w:rPr>
        <w:t>a B → a b,  b B → b b       [Convert non-terminal B to terminal b adjacent to an 'a' or 'b']</w:t>
      </w:r>
    </w:p>
    <w:p>
      <w:pPr>
        <w:pStyle w:val="ListBullet"/>
        <w:spacing w:after="80" w:line="276" w:lineRule="auto" w:before="0"/>
      </w:pPr>
      <w:r>
        <w:rPr>
          <w:rFonts w:ascii="Calibri" w:hAnsi="Calibri"/>
          <w:b/>
          <w:color w:val="282828"/>
          <w:sz w:val="20"/>
        </w:rPr>
        <w:t xml:space="preserve">Rule Group 4: </w:t>
      </w:r>
      <w:r>
        <w:rPr>
          <w:rFonts w:ascii="Calibri" w:hAnsi="Calibri"/>
          <w:color w:val="282828"/>
          <w:sz w:val="20"/>
        </w:rPr>
        <w:t>b C → b c,  c C → c c       [Convert non-terminal C to terminal c adjacent to a 'b' or 'c']</w:t>
      </w:r>
    </w:p>
    <w:p>
      <w:pPr>
        <w:spacing w:after="120" w:line="276" w:lineRule="auto" w:before="0"/>
      </w:pPr>
      <w:r>
        <w:rPr>
          <w:rFonts w:ascii="Calibri" w:hAnsi="Calibri"/>
          <w:color w:val="282828"/>
          <w:sz w:val="21"/>
        </w:rPr>
        <w:t>Every rule satisfies the non-contracting requirement |α| ≤ |β|. For instance, the derivation for a^2 b^2 c^2 proceeds: S ⇒ aSBC ⇒ aaBCBC ⇒ aaBBCC ⇒ aabBCC ⇒ aabbCC ⇒ aabbcC ⇒ aabbcc. The permutation rule CB → BC demonstrates true context-dependence.</w:t>
      </w:r>
    </w:p>
    <w:p>
      <w:pPr>
        <w:spacing w:after="120" w:line="276" w:lineRule="auto" w:before="0"/>
      </w:pPr>
      <w:r>
        <w:rPr>
          <w:rFonts w:ascii="Calibri" w:hAnsi="Calibri"/>
          <w:color w:val="282828"/>
          <w:sz w:val="21"/>
        </w:rPr>
        <w:t>A Linear Bounded Automaton (LBA) recognizes L2 within bounded tape space k·n = 1·n: it scans the tape, marks the first 'a' with an X, scans right to mark the first 'b' with a Y, scans right to mark the first 'c' with a Z, and returns to the left boundary. It repeats this cycle until all symbols are crossed out. Because the tape boundaries ▷ and ◁ are never exceeded, memory space is strictly O(n). By Kuroda's theorem, L2 ∈ CSL.</w:t>
      </w:r>
    </w:p>
    <w:p>
      <w:pPr>
        <w:keepNext/>
        <w:spacing w:before="240" w:after="80"/>
      </w:pPr>
      <w:r>
        <w:rPr>
          <w:rFonts w:ascii="Calibri" w:hAnsi="Calibri"/>
          <w:b/>
          <w:color w:val="1E5A96"/>
          <w:sz w:val="24"/>
        </w:rPr>
        <w:t>4.3 Separating Level 1 and Level 0 / Decidable Languages</w:t>
      </w:r>
    </w:p>
    <w:p>
      <w:pPr>
        <w:spacing w:after="120" w:line="276" w:lineRule="auto" w:before="0"/>
      </w:pPr>
      <w:r>
        <w:rPr>
          <w:rFonts w:ascii="Calibri" w:hAnsi="Calibri"/>
          <w:color w:val="282828"/>
          <w:sz w:val="21"/>
        </w:rPr>
        <w:t>Context-sensitive languages are inherently decidable. Because an LBA on an input of length n has a finite number of distinct tape configurations (bounded by |Q| · n · |Γ|^n), an algorithm can simulate the LBA and detect infinite looping within a finite number of steps. Thus, CSL ⊊ REC (Decidable).</w:t>
      </w:r>
    </w:p>
    <w:p>
      <w:pPr>
        <w:spacing w:after="120" w:line="276" w:lineRule="auto" w:before="0"/>
      </w:pPr>
      <w:r>
        <w:rPr>
          <w:rFonts w:ascii="Calibri" w:hAnsi="Calibri"/>
          <w:color w:val="282828"/>
          <w:sz w:val="21"/>
        </w:rPr>
        <w:t>To separate Level 1 from Level 0 (Recursively Enumerable), we examine the canonical Halting Problem language: A_TM = {&lt;M, w&gt; | M is a Turing machine that accepts w}. A_TM is recognizable by a Universal Turing Machine (UTM) by direct simulation, placing it squarely in Type 0 (RE). However, by Alan Turing's celebrated 1936 diagonalization proof, A_TM is undecidable (A_TM ∉ REC). Because all CSLs are decidable (CSL ⊆ REC), it follows immediately that A_TM is not context-sensitive (A_TM ∉ CSL), establishing the strict containment CSL ⊊ RE.</w:t>
      </w:r>
    </w:p>
    <w:p>
      <w:pPr>
        <w:spacing w:after="120" w:line="276" w:lineRule="auto" w:before="0"/>
      </w:pPr>
      <w:r>
        <w:rPr>
          <w:rFonts w:ascii="Calibri" w:hAnsi="Calibri"/>
          <w:color w:val="282828"/>
          <w:sz w:val="21"/>
        </w:rPr>
        <w:t>Finally, non-Turing-recognizable languages exist beyond Level 0 entirely, such as the diagonalization language L_d = {&lt;M&gt; | M does not accept &lt;M&gt;} and the complement of the halting problem \overline{A_TM}. By Cantor's diagonalization theorem, because the set of all Turing machines is countably infinite while the set of all formal languages 2^(Σ*) is uncountably infinite, the vast majority of languages lie strictly outside the Chomsky Hierarchy.</w:t>
      </w:r>
    </w:p>
    <w:p>
      <w:pPr>
        <w:keepNext/>
        <w:spacing w:before="240" w:after="80"/>
      </w:pPr>
      <w:r>
        <w:rPr>
          <w:rFonts w:ascii="Calibri" w:hAnsi="Calibri"/>
          <w:b/>
          <w:color w:val="1E5A96"/>
          <w:sz w:val="24"/>
        </w:rPr>
        <w:t>4.4 Comprehensive Comparative Matrix across the Chomsky Hierarchy</w:t>
      </w:r>
    </w:p>
    <w:p>
      <w:pPr>
        <w:spacing w:after="120" w:line="276" w:lineRule="auto" w:before="0"/>
      </w:pPr>
      <w:r>
        <w:rPr>
          <w:rFonts w:ascii="Calibri" w:hAnsi="Calibri"/>
          <w:color w:val="282828"/>
          <w:sz w:val="21"/>
        </w:rPr>
        <w:t>Table 1 synthesizes the mathematical machinery, memory constraints, operational complexity, and algebraic properties governing all four tiers.</w:t>
      </w:r>
    </w:p>
    <w:tbl>
      <w:tblPr>
        <w:tblW w:type="auto" w:w="0"/>
        <w:jc w:val="center"/>
        <w:tblLook w:firstColumn="1" w:firstRow="1" w:lastColumn="0" w:lastRow="0" w:noHBand="0" w:noVBand="1" w:val="04A0"/>
      </w:tblPr>
      <w:tblGrid>
        <w:gridCol w:w="1872"/>
        <w:gridCol w:w="1872"/>
        <w:gridCol w:w="1872"/>
        <w:gridCol w:w="1872"/>
        <w:gridCol w:w="1872"/>
      </w:tblGrid>
      <w:tr>
        <w:tc>
          <w:tcPr>
            <w:tcW w:type="dxa" w:w="1872"/>
            <w:vAlign w:val="center"/>
            <w:shd w:fill="0F2C59"/>
            <w:tcMar>
              <w:top w:w="100" w:type="dxa"/>
              <w:bottom w:w="100" w:type="dxa"/>
              <w:left w:w="100" w:type="dxa"/>
              <w:right w:w="100" w:type="dxa"/>
            </w:tcMar>
          </w:tcPr>
          <w:p>
            <w:pPr>
              <w:spacing w:before="40" w:after="40"/>
              <w:jc w:val="center"/>
            </w:pPr>
            <w:r>
              <w:rPr>
                <w:rFonts w:ascii="Calibri" w:hAnsi="Calibri"/>
                <w:b/>
                <w:color w:val="FFFFFF"/>
                <w:sz w:val="17"/>
              </w:rPr>
              <w:t>Dimension / Feature</w:t>
            </w:r>
          </w:p>
        </w:tc>
        <w:tc>
          <w:tcPr>
            <w:tcW w:type="dxa" w:w="1872"/>
            <w:vAlign w:val="center"/>
            <w:shd w:fill="0F2C59"/>
            <w:tcMar>
              <w:top w:w="100" w:type="dxa"/>
              <w:bottom w:w="100" w:type="dxa"/>
              <w:left w:w="100" w:type="dxa"/>
              <w:right w:w="100" w:type="dxa"/>
            </w:tcMar>
          </w:tcPr>
          <w:p>
            <w:pPr>
              <w:spacing w:before="40" w:after="40"/>
              <w:jc w:val="left"/>
            </w:pPr>
            <w:r>
              <w:rPr>
                <w:rFonts w:ascii="Calibri" w:hAnsi="Calibri"/>
                <w:b/>
                <w:color w:val="FFFFFF"/>
                <w:sz w:val="17"/>
              </w:rPr>
              <w:t>Type 3: Regular</w:t>
            </w:r>
          </w:p>
        </w:tc>
        <w:tc>
          <w:tcPr>
            <w:tcW w:type="dxa" w:w="1872"/>
            <w:vAlign w:val="center"/>
            <w:shd w:fill="0F2C59"/>
            <w:tcMar>
              <w:top w:w="100" w:type="dxa"/>
              <w:bottom w:w="100" w:type="dxa"/>
              <w:left w:w="100" w:type="dxa"/>
              <w:right w:w="100" w:type="dxa"/>
            </w:tcMar>
          </w:tcPr>
          <w:p>
            <w:pPr>
              <w:spacing w:before="40" w:after="40"/>
              <w:jc w:val="left"/>
            </w:pPr>
            <w:r>
              <w:rPr>
                <w:rFonts w:ascii="Calibri" w:hAnsi="Calibri"/>
                <w:b/>
                <w:color w:val="FFFFFF"/>
                <w:sz w:val="17"/>
              </w:rPr>
              <w:t>Type 2: Context-Free</w:t>
            </w:r>
          </w:p>
        </w:tc>
        <w:tc>
          <w:tcPr>
            <w:tcW w:type="dxa" w:w="1872"/>
            <w:vAlign w:val="center"/>
            <w:shd w:fill="0F2C59"/>
            <w:tcMar>
              <w:top w:w="100" w:type="dxa"/>
              <w:bottom w:w="100" w:type="dxa"/>
              <w:left w:w="100" w:type="dxa"/>
              <w:right w:w="100" w:type="dxa"/>
            </w:tcMar>
          </w:tcPr>
          <w:p>
            <w:pPr>
              <w:spacing w:before="40" w:after="40"/>
              <w:jc w:val="left"/>
            </w:pPr>
            <w:r>
              <w:rPr>
                <w:rFonts w:ascii="Calibri" w:hAnsi="Calibri"/>
                <w:b/>
                <w:color w:val="FFFFFF"/>
                <w:sz w:val="17"/>
              </w:rPr>
              <w:t>Type 1: Context-Sensitive</w:t>
            </w:r>
          </w:p>
        </w:tc>
        <w:tc>
          <w:tcPr>
            <w:tcW w:type="dxa" w:w="1872"/>
            <w:vAlign w:val="center"/>
            <w:shd w:fill="0F2C59"/>
            <w:tcMar>
              <w:top w:w="100" w:type="dxa"/>
              <w:bottom w:w="100" w:type="dxa"/>
              <w:left w:w="100" w:type="dxa"/>
              <w:right w:w="100" w:type="dxa"/>
            </w:tcMar>
          </w:tcPr>
          <w:p>
            <w:pPr>
              <w:spacing w:before="40" w:after="40"/>
              <w:jc w:val="left"/>
            </w:pPr>
            <w:r>
              <w:rPr>
                <w:rFonts w:ascii="Calibri" w:hAnsi="Calibri"/>
                <w:b/>
                <w:color w:val="FFFFFF"/>
                <w:sz w:val="17"/>
              </w:rPr>
              <w:t>Type 0: Unrestricted (RE)</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Grammar Rules</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A → aB | a (Right/Left linear)</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A → α, A ∈ V, α ∈ (V ∪ Σ)*</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α → β with |α| ≤ |β| (Non-contracting)</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α → β, α ∈ (V ∪ Σ)+, β ∈ (V ∪ Σ)*</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Automaton Model</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Finite State Automaton (DFA/NFA)</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Pushdown Automaton (NPDA)</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Linear Bounded Automaton (LBA)</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Turing Machine (TM)</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Auxiliary Memory</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None (Finite state control only)</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Single LIFO Stack (Unbounded depth)</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Linearly Bounded Tape (k · n cells)</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Unbounded Two-Way Tape</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Determinism Equivalence</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DFA ≡ NFA (Identical power)</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DPDA ⊊ NPDA (Strictly weaker)</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DLBA ⊆ NLBA (Open Problem)</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DTM ≡ NTM (Polynomial slowdown)</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Canonical Language</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L = (a b)*</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L = {a^n b^n | n ≥ 1}</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L = {a^n b^n c^n | n ≥ 1}</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A_TM = {&lt;M, w&gt; | M accepts w}</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Pumping Lemma</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xyz lemma (|xy| ≤ p, |y| &gt; 0)</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uvwxy lemma (|vwx| ≤ p, |vx| &gt; 0)</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No general pumping lemma</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None (Undecidable)</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Membership Complexity</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O(n) Linear Time</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O(n³) CYK / O(n) for LR(k)</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PSPACE-Complete</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Undecidable (Semi-decidable)</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Closure: Union / Concat</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Yes / Yes</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Yes / Yes</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Yes / Yes</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Yes / Yes</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Closure: Intersection</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Yes</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No (L1 ∩ L2 can be non-CFL)</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Yes</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Yes</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Closure: Complement</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Yes (Flip accept states)</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No</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Yes (Immerman-Szelepcsényi)</w:t>
            </w:r>
          </w:p>
        </w:tc>
        <w:tc>
          <w:tcPr>
            <w:tcW w:type="dxa" w:w="1872"/>
            <w:vAlign w:val="center"/>
            <w:shd w:fill="FFFFFF"/>
            <w:tcMar>
              <w:top w:w="80" w:type="dxa"/>
              <w:bottom w:w="80" w:type="dxa"/>
              <w:left w:w="90" w:type="dxa"/>
              <w:right w:w="90" w:type="dxa"/>
            </w:tcMar>
          </w:tcPr>
          <w:p>
            <w:pPr>
              <w:spacing w:before="40" w:after="40"/>
              <w:jc w:val="left"/>
            </w:pPr>
            <w:r>
              <w:rPr>
                <w:rFonts w:ascii="Calibri" w:hAnsi="Calibri"/>
                <w:color w:val="282828"/>
                <w:sz w:val="16"/>
              </w:rPr>
              <w:t>No (Only if decidable)</w:t>
            </w:r>
          </w:p>
        </w:tc>
      </w:tr>
      <w:tr>
        <w:tc>
          <w:tcPr>
            <w:tcW w:type="dxa" w:w="1872"/>
            <w:vAlign w:val="center"/>
            <w:shd w:fill="EAEFF5"/>
            <w:tcMar>
              <w:top w:w="80" w:type="dxa"/>
              <w:bottom w:w="80" w:type="dxa"/>
              <w:left w:w="90" w:type="dxa"/>
              <w:right w:w="90" w:type="dxa"/>
            </w:tcMar>
          </w:tcPr>
          <w:p>
            <w:pPr>
              <w:spacing w:before="40" w:after="40"/>
              <w:jc w:val="center"/>
            </w:pPr>
            <w:r>
              <w:rPr>
                <w:rFonts w:ascii="Calibri" w:hAnsi="Calibri"/>
                <w:b/>
                <w:color w:val="0F2C59"/>
                <w:sz w:val="16"/>
              </w:rPr>
              <w:t>Emptiness / Equivalence</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Decidable / Decidable</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Decidable / Undecidable</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Undecidable / Undecidable</w:t>
            </w:r>
          </w:p>
        </w:tc>
        <w:tc>
          <w:tcPr>
            <w:tcW w:type="dxa" w:w="1872"/>
            <w:vAlign w:val="center"/>
            <w:shd w:fill="F9FAFB"/>
            <w:tcMar>
              <w:top w:w="80" w:type="dxa"/>
              <w:bottom w:w="80" w:type="dxa"/>
              <w:left w:w="90" w:type="dxa"/>
              <w:right w:w="90" w:type="dxa"/>
            </w:tcMar>
          </w:tcPr>
          <w:p>
            <w:pPr>
              <w:spacing w:before="40" w:after="40"/>
              <w:jc w:val="left"/>
            </w:pPr>
            <w:r>
              <w:rPr>
                <w:rFonts w:ascii="Calibri" w:hAnsi="Calibri"/>
                <w:color w:val="282828"/>
                <w:sz w:val="16"/>
              </w:rPr>
              <w:t>Undecidable / Undecidable</w:t>
            </w:r>
          </w:p>
        </w:tc>
      </w:tr>
    </w:tbl>
    <w:p>
      <w:pPr>
        <w:spacing w:after="120" w:line="276" w:lineRule="auto" w:before="0"/>
      </w:pPr>
      <w:r>
        <w:rPr>
          <w:rFonts w:ascii="Calibri" w:hAnsi="Calibri"/>
          <w:color w:val="282828"/>
          <w:sz w:val="21"/>
        </w:rPr>
      </w:r>
    </w:p>
    <w:p>
      <w:pPr>
        <w:keepNext/>
        <w:spacing w:before="320" w:after="120"/>
      </w:pPr>
      <w:r>
        <w:rPr>
          <w:rFonts w:ascii="Calibri" w:hAnsi="Calibri"/>
          <w:b/>
          <w:color w:val="0F2C59"/>
          <w:sz w:val="28"/>
        </w:rPr>
        <w:t>5. Applications and Implications for Contemporary Computing</w:t>
      </w:r>
    </w:p>
    <w:p>
      <w:pPr>
        <w:spacing w:after="120" w:line="276" w:lineRule="auto" w:before="0"/>
      </w:pPr>
      <w:r>
        <w:rPr>
          <w:rFonts w:ascii="Calibri" w:hAnsi="Calibri"/>
          <w:color w:val="282828"/>
          <w:sz w:val="21"/>
        </w:rPr>
        <w:t>The theoretical boundaries established by the Chomsky Hierarchy are not abstract mathematical curiosities; they dictate the architecture, computational efficiency, and security resilience of practical software and hardware systems. In this section, we analyze three critical domains.</w:t>
      </w:r>
    </w:p>
    <w:p>
      <w:pPr>
        <w:keepNext/>
        <w:spacing w:before="240" w:after="80"/>
      </w:pPr>
      <w:r>
        <w:rPr>
          <w:rFonts w:ascii="Calibri" w:hAnsi="Calibri"/>
          <w:b/>
          <w:color w:val="1E5A96"/>
          <w:sz w:val="24"/>
        </w:rPr>
        <w:t>5.1 Compiler Pipeline Architecture: A Direct Manifestation of the Hierarchy</w:t>
      </w:r>
    </w:p>
    <w:p>
      <w:pPr>
        <w:spacing w:after="120" w:line="276" w:lineRule="auto" w:before="0"/>
      </w:pPr>
      <w:r>
        <w:rPr>
          <w:rFonts w:ascii="Calibri" w:hAnsi="Calibri"/>
          <w:color w:val="282828"/>
          <w:sz w:val="21"/>
        </w:rPr>
        <w:t>Modern compiler front-ends are structured as a cascading sequence of language recognition engines that precisely mirror the tiers of the Chomsky Hierarchy:</w:t>
      </w:r>
    </w:p>
    <w:p>
      <w:pPr>
        <w:pStyle w:val="ListBullet"/>
        <w:spacing w:after="80" w:line="276" w:lineRule="auto" w:before="0"/>
      </w:pPr>
      <w:r>
        <w:rPr>
          <w:rFonts w:ascii="Calibri" w:hAnsi="Calibri"/>
          <w:b/>
          <w:color w:val="282828"/>
          <w:sz w:val="20"/>
        </w:rPr>
        <w:t xml:space="preserve">Phase 1: Lexical Analysis (Type 3 / Regular): </w:t>
      </w:r>
      <w:r>
        <w:rPr>
          <w:rFonts w:ascii="Calibri" w:hAnsi="Calibri"/>
          <w:color w:val="282828"/>
          <w:sz w:val="20"/>
        </w:rPr>
        <w:t>Source code characters are aggregated into lexical tokens (identifiers, keywords, literals) using Regular Expressions compiled into Deterministic Finite Automata (DFAs via Lex/Flex). Level 3 is deliberately chosen because DFA tokenization executes in strict O(n) linear time with O(1) auxiliary memory, processing hundreds of megabytes of source code per second with zero memory allocation overhead.</w:t>
      </w:r>
    </w:p>
    <w:p>
      <w:pPr>
        <w:pStyle w:val="ListBullet"/>
        <w:spacing w:after="80" w:line="276" w:lineRule="auto" w:before="0"/>
      </w:pPr>
      <w:r>
        <w:rPr>
          <w:rFonts w:ascii="Calibri" w:hAnsi="Calibri"/>
          <w:b/>
          <w:color w:val="282828"/>
          <w:sz w:val="20"/>
        </w:rPr>
        <w:t xml:space="preserve">Phase 2: Syntactic Analysis (Type 2 / Context-Free): </w:t>
      </w:r>
      <w:r>
        <w:rPr>
          <w:rFonts w:ascii="Calibri" w:hAnsi="Calibri"/>
          <w:color w:val="282828"/>
          <w:sz w:val="20"/>
        </w:rPr>
        <w:t>Tokens are organized into hierarchical Abstract Syntax Trees (ASTs) using deterministic context-free grammars parsed via LALR(1) (Yacc/Bison) or LL(k) (ANTLR) algorithms. Although general context-free parsing (e.g., Cocke-Younger-Kasami or Earley algorithms) requires O(n³) worst-case time, programming languages are restricted to deterministic context-free subclasses (DCFL), guaranteeing deterministic O(n) single-pass parsing. The LIFO stack of the Pushdown Automaton perfectly models nested programming constructs (parentheses, block scopes, begin/end blocks).</w:t>
      </w:r>
    </w:p>
    <w:p>
      <w:pPr>
        <w:pStyle w:val="ListBullet"/>
        <w:spacing w:after="80" w:line="276" w:lineRule="auto" w:before="0"/>
      </w:pPr>
      <w:r>
        <w:rPr>
          <w:rFonts w:ascii="Calibri" w:hAnsi="Calibri"/>
          <w:b/>
          <w:color w:val="282828"/>
          <w:sz w:val="20"/>
        </w:rPr>
        <w:t xml:space="preserve">Phase 3: Semantic Analysis (Type 1 / Context-Sensitive): </w:t>
      </w:r>
      <w:r>
        <w:rPr>
          <w:rFonts w:ascii="Calibri" w:hAnsi="Calibri"/>
          <w:color w:val="282828"/>
          <w:sz w:val="20"/>
        </w:rPr>
        <w:t>Crucially, real-world programming languages are NOT context-free. Fundamental linguistic constraints—such as 'variable declaration before use' (formalized by the non-CFL language {w w | w ∈ {a,b}*}), type compatibility checking, and scope resolution—require context sensitivity. Because general Type 1 LBA parsing is PSPACE-complete (computationally intractable), compiler architects bypass general CSL parsers by employing Attribute Grammars and Symbol Tables. The symbol table acts as an auxiliary contextual store that enforces context-sensitive constraints in linear time.</w:t>
      </w:r>
    </w:p>
    <w:p>
      <w:pPr>
        <w:pStyle w:val="ListBullet"/>
        <w:spacing w:after="80" w:line="276" w:lineRule="auto" w:before="0"/>
      </w:pPr>
      <w:r>
        <w:rPr>
          <w:rFonts w:ascii="Calibri" w:hAnsi="Calibri"/>
          <w:b/>
          <w:color w:val="282828"/>
          <w:sz w:val="20"/>
        </w:rPr>
        <w:t xml:space="preserve">Phase 4: Code Generation &amp; Execution (Type 0 / Turing Complete): </w:t>
      </w:r>
      <w:r>
        <w:rPr>
          <w:rFonts w:ascii="Calibri" w:hAnsi="Calibri"/>
          <w:color w:val="282828"/>
          <w:sz w:val="20"/>
        </w:rPr>
        <w:t>The compiler translates the validated AST into machine bytecode or assembly instructions capable of arbitrary conditional execution and unbounded heap memory allocation, instantiating a Turing-complete runtime environment.</w:t>
      </w:r>
    </w:p>
    <w:p>
      <w:pPr>
        <w:keepNext/>
        <w:spacing w:before="240" w:after="80"/>
      </w:pPr>
      <w:r>
        <w:rPr>
          <w:rFonts w:ascii="Calibri" w:hAnsi="Calibri"/>
          <w:b/>
          <w:color w:val="1E5A96"/>
          <w:sz w:val="24"/>
        </w:rPr>
        <w:t>5.2 Language-Theoretic Security (LangSec): The 'Turing Trap' and Protocol Defense</w:t>
      </w:r>
    </w:p>
    <w:p>
      <w:pPr>
        <w:spacing w:after="120" w:line="276" w:lineRule="auto" w:before="0"/>
      </w:pPr>
      <w:r>
        <w:rPr>
          <w:rFonts w:ascii="Calibri" w:hAnsi="Calibri"/>
          <w:color w:val="282828"/>
          <w:sz w:val="21"/>
        </w:rPr>
        <w:t>The emerging field of Language-Theoretic Security (LangSec) provides one of the most urgent practical applications of the Chomsky Hierarchy. Sassaman, Patterson, and Bratus observed that the root cause of systemic cybersecurity vulnerabilities is the informal, ad-hoc implementation of input parsers for protocols whose formats reside too high in the Chomsky Hierarchy.</w:t>
      </w:r>
    </w:p>
    <w:p>
      <w:pPr>
        <w:spacing w:after="120" w:line="276" w:lineRule="auto" w:before="0"/>
      </w:pPr>
      <w:r>
        <w:rPr>
          <w:rFonts w:ascii="Calibri" w:hAnsi="Calibri"/>
          <w:color w:val="282828"/>
          <w:sz w:val="21"/>
        </w:rPr>
        <w:t>When a network protocol or interchange format (e.g., ASN.1, XML with external entities, PDF, complex JSON with executable deserialization) requires context-sensitive or Turing-complete computational power to parse, input verification becomes undecidable or intractable. In accordance with Rice's Theorem and the Halting Problem, no parser can algorithmically verify all semantic properties of an input stream belonging to an unrestricted or context-sensitive grammar without executing it. When a parser attempts to process maliciously crafted inputs, its execution state can be steered into unmapped transition paths, creating an ad-hoc interpreter termed a 'weird machine.' The attacker's payload becomes code executed by the weird machine, yielding Arbitrary Code Execution (RCE) or state-exhaustion Denial-of-Service.</w:t>
      </w:r>
    </w:p>
    <w:p>
      <w:pPr>
        <w:spacing w:after="120" w:line="276" w:lineRule="auto" w:before="0"/>
      </w:pPr>
      <w:r>
        <w:rPr>
          <w:rFonts w:ascii="Calibri" w:hAnsi="Calibri"/>
          <w:color w:val="282828"/>
          <w:sz w:val="21"/>
        </w:rPr>
        <w:t>LangSec prescribes a strict architectural remedy directly derived from formal language theory: protocols must be formally specified using Type 3 (regular) or deterministic Type 2 (DCFL) grammars. By restricting message formats to regular state machines or unambiguous LL/LR grammars, parser correctness can be mathematically verified, membership is decidable in O(n) time, and weird machines are precluded by design.</w:t>
      </w:r>
    </w:p>
    <w:p>
      <w:pPr>
        <w:keepNext/>
        <w:spacing w:before="240" w:after="80"/>
      </w:pPr>
      <w:r>
        <w:rPr>
          <w:rFonts w:ascii="Calibri" w:hAnsi="Calibri"/>
          <w:b/>
          <w:color w:val="1E5A96"/>
          <w:sz w:val="24"/>
        </w:rPr>
        <w:t>5.3 Computational Biology: RNA Secondary Structure Modeling</w:t>
      </w:r>
    </w:p>
    <w:p>
      <w:pPr>
        <w:spacing w:after="120" w:line="276" w:lineRule="auto" w:before="0"/>
      </w:pPr>
      <w:r>
        <w:rPr>
          <w:rFonts w:ascii="Calibri" w:hAnsi="Calibri"/>
          <w:color w:val="282828"/>
          <w:sz w:val="21"/>
        </w:rPr>
        <w:t>In bioinformatics, formal language theory provides the mathematical apparatus for predicting ribonucleic acid (RNA) folding. Single-stranded RNA molecules fold back upon themselves, forming base pairs (Adenine-Uracil, Guanine-Cytosine). Standard nested stem-loop structures exhibit palindromic symmetry formalized by context-free grammars (similar to {w w^R | w ∈ {A, U, G, C}*}), solvable via stochastic context-free grammars (SCFGs). However, critical functional motifs known as 'pseudoknots' involve crossing base-pair interactions, generating dependencies of the form ... a_i ... b_j ... a_k ... b_l ..., which are formally equivalent to the non-context-free language {a^n b^m a^n b^m}. Consequently, bioinformaticians must utilize Mildly Context-Sensitive Grammars (such as Tree-Adjoining Grammars) to model pseudoknots while avoiding the full PSPACE intractability of Type 1 LBAs.</w:t>
      </w:r>
    </w:p>
    <w:p>
      <w:pPr>
        <w:keepNext/>
        <w:spacing w:before="320" w:after="120"/>
      </w:pPr>
      <w:r>
        <w:rPr>
          <w:rFonts w:ascii="Calibri" w:hAnsi="Calibri"/>
          <w:b/>
          <w:color w:val="0F2C59"/>
          <w:sz w:val="28"/>
        </w:rPr>
        <w:t>6. Critical Discussion and Theoretical Limitations</w:t>
      </w:r>
    </w:p>
    <w:p>
      <w:pPr>
        <w:spacing w:after="120" w:line="276" w:lineRule="auto" w:before="0"/>
      </w:pPr>
      <w:r>
        <w:rPr>
          <w:rFonts w:ascii="Calibri" w:hAnsi="Calibri"/>
          <w:color w:val="282828"/>
          <w:sz w:val="21"/>
        </w:rPr>
        <w:t>While the Chomsky Hierarchy provides an exceptionally elegant mathematical taxonomy, critical evaluation reveals important practical limitations, engineering compromises, and theoretical nuances that must be addressed.</w:t>
      </w:r>
    </w:p>
    <w:p>
      <w:pPr>
        <w:keepNext/>
        <w:spacing w:before="240" w:after="80"/>
      </w:pPr>
      <w:r>
        <w:rPr>
          <w:rFonts w:ascii="Calibri" w:hAnsi="Calibri"/>
          <w:b/>
          <w:color w:val="1E5A96"/>
          <w:sz w:val="24"/>
        </w:rPr>
        <w:t>6.1 Theoretical Elegance versus Engineering Compromises</w:t>
      </w:r>
    </w:p>
    <w:p>
      <w:pPr>
        <w:spacing w:after="120" w:line="276" w:lineRule="auto" w:before="0"/>
      </w:pPr>
      <w:r>
        <w:rPr>
          <w:rFonts w:ascii="Calibri" w:hAnsi="Calibri"/>
          <w:color w:val="282828"/>
          <w:sz w:val="21"/>
        </w:rPr>
        <w:t>A pervasive tension exists between grammatical purity and practical software engineering. In language design, strict adherence to context-freeness is frequently abandoned to accommodate ergonomic syntax. A prominent example is the notorious 'lexer hack' in C and C++: the character sequence '(T)*x' can be parsed as a cast expression or a multiplication depending on whether 'T' was previously declared as a typedef name or a variable. Because the lexical analyzer cannot determine the token type without querying the symbol table, the strict pipeline separation between Level 3 (lexer) and Level 2 (parser) is broken, creating an intertwined, stateful dependency.</w:t>
      </w:r>
    </w:p>
    <w:p>
      <w:pPr>
        <w:keepNext/>
        <w:spacing w:before="240" w:after="80"/>
      </w:pPr>
      <w:r>
        <w:rPr>
          <w:rFonts w:ascii="Calibri" w:hAnsi="Calibri"/>
          <w:b/>
          <w:color w:val="1E5A96"/>
          <w:sz w:val="24"/>
        </w:rPr>
        <w:t>6.2 The Computational Intractability of Type 1 Grammars</w:t>
      </w:r>
    </w:p>
    <w:p>
      <w:pPr>
        <w:spacing w:after="120" w:line="276" w:lineRule="auto" w:before="0"/>
      </w:pPr>
      <w:r>
        <w:rPr>
          <w:rFonts w:ascii="Calibri" w:hAnsi="Calibri"/>
          <w:color w:val="282828"/>
          <w:sz w:val="21"/>
        </w:rPr>
        <w:t>Although Type 1 context-sensitive grammars perfectly describe linguistic constraints like variable agreement and typing, they are virtually unused in practical parser generators. S. Y. Kuroda's proof that LBA acceptance is PSPACE-complete implies that parsing a context-sensitive grammar requires exponential time in the worst case under standard complexity assumptions. For a program of length n = 100,000 tokens, a PSPACE-complete parsing algorithm would never terminate within the lifetime of the universe. This stark computational barrier forced theoretical computer scientists to identify intermediate 'Mildly Context-Sensitive' classes—such as Tree-Adjoining Grammars (TAG) and Combinatory Categorial Grammars (CCG)—which parse cross-serial dependencies in polynomial time (typically O(n^6)).</w:t>
      </w:r>
    </w:p>
    <w:p>
      <w:pPr>
        <w:keepNext/>
        <w:spacing w:before="240" w:after="80"/>
      </w:pPr>
      <w:r>
        <w:rPr>
          <w:rFonts w:ascii="Calibri" w:hAnsi="Calibri"/>
          <w:b/>
          <w:color w:val="1E5A96"/>
          <w:sz w:val="24"/>
        </w:rPr>
        <w:t>6.3 The Undecidability of Context-Free Ambiguity</w:t>
      </w:r>
    </w:p>
    <w:p>
      <w:pPr>
        <w:spacing w:after="120" w:line="276" w:lineRule="auto" w:before="0"/>
      </w:pPr>
      <w:r>
        <w:rPr>
          <w:rFonts w:ascii="Calibri" w:hAnsi="Calibri"/>
          <w:color w:val="282828"/>
          <w:sz w:val="21"/>
        </w:rPr>
        <w:t>A critical limitation of Level 2 models is the inherent undecidability of grammar properties. While membership for CFGs is decidable in O(n³) time, Cantor's and Post's undecidability results establish that determining whether an arbitrary CFG is ambiguous is undecidable. Furthermore, there exist inherently ambiguous context-free languages (e.g., L = {a^i b^j c^k | i = j or j = k}), for which no unambiguous CFG can ever be constructed. Compiler engineers must therefore manually enforce disambiguation rules (such as precedence and associativity declarations in Yacc) to prune parse forests into single deterministic paths.</w:t>
      </w:r>
    </w:p>
    <w:p>
      <w:pPr>
        <w:keepNext/>
        <w:spacing w:before="240" w:after="80"/>
      </w:pPr>
      <w:r>
        <w:rPr>
          <w:rFonts w:ascii="Calibri" w:hAnsi="Calibri"/>
          <w:b/>
          <w:color w:val="1E5A96"/>
          <w:sz w:val="24"/>
        </w:rPr>
        <w:t>6.4 The Chomsky Hierarchy as an Diagnostic Benchmark for Modern AI</w:t>
      </w:r>
    </w:p>
    <w:p>
      <w:pPr>
        <w:spacing w:after="120" w:line="276" w:lineRule="auto" w:before="0"/>
      </w:pPr>
      <w:r>
        <w:rPr>
          <w:rFonts w:ascii="Calibri" w:hAnsi="Calibri"/>
          <w:color w:val="282828"/>
          <w:sz w:val="21"/>
        </w:rPr>
        <w:t>In contemporary deep learning, the Chomsky Hierarchy has emerged as a rigorous evaluation metric for Large Language Models (LLMs) and Transformers. Despite their extraordinary empirical fluency in human conversation, recent theoretical investigations (e.g., Merrill et al., 2022; Delétang et al., 2023) demonstrate that standard autoregressive Transformers with finite-precision softmax attention cannot recognize simple context-free languages with arbitrary nesting depths (such as Dyck languages of balanced brackets) when tested out-of-distribution. Because standard Transformers lack an explicit recursive stack or read-write tape, their sequence recognition capabilities are bounded within restricted circuit complexity classes (specifically TC0). Thus, classical Chomsky hierarchy concepts provide essential diagnostic clarity for demystifying the actual algorithmic reasoning limits of artificial neural networks.</w:t>
      </w:r>
    </w:p>
    <w:p>
      <w:pPr>
        <w:keepNext/>
        <w:spacing w:before="320" w:after="120"/>
      </w:pPr>
      <w:r>
        <w:rPr>
          <w:rFonts w:ascii="Calibri" w:hAnsi="Calibri"/>
          <w:b/>
          <w:color w:val="0F2C59"/>
          <w:sz w:val="28"/>
        </w:rPr>
        <w:t>7. Conclusion and Future Research Directions</w:t>
      </w:r>
    </w:p>
    <w:p>
      <w:pPr>
        <w:spacing w:after="120" w:line="276" w:lineRule="auto" w:before="0"/>
      </w:pPr>
      <w:r>
        <w:rPr>
          <w:rFonts w:ascii="Calibri" w:hAnsi="Calibri"/>
          <w:color w:val="282828"/>
          <w:sz w:val="21"/>
        </w:rPr>
        <w:t>Seventy years after its inception, the Chomsky Hierarchy endures as one of the most profound intellectual achievements in computational science. By establishing the mathematical equivalence between production rule constraints and abstract machine memory architectures, the hierarchy reveals that computational power is inextricably bound to the physical structure of memory access.</w:t>
      </w:r>
    </w:p>
    <w:p>
      <w:pPr>
        <w:spacing w:after="120" w:line="276" w:lineRule="auto" w:before="0"/>
      </w:pPr>
      <w:r>
        <w:rPr>
          <w:rFonts w:ascii="Calibri" w:hAnsi="Calibri"/>
          <w:color w:val="282828"/>
          <w:sz w:val="21"/>
        </w:rPr>
        <w:t>Our technical analysis demonstrated the strict proper inclusion REG ⊊ CFL ⊊ CSL ⊊ RE through rigorous pumping lemma contradictions and machine constructions for the separator languages 0^n 1^n, a^n b^n c^n, and A_TM. We showed how the hierarchy mirrors the four stages of the modern compiler pipeline, provides the foundational security principles for Language-Theoretic Security (LangSec), and delineates the biological modeling of RNA structures.</w:t>
      </w:r>
    </w:p>
    <w:p>
      <w:pPr>
        <w:spacing w:after="120" w:line="276" w:lineRule="auto" w:before="0"/>
      </w:pPr>
      <w:r>
        <w:rPr>
          <w:rFonts w:ascii="Calibri" w:hAnsi="Calibri"/>
          <w:color w:val="282828"/>
          <w:sz w:val="21"/>
        </w:rPr>
        <w:t>Promising directions for future research include:</w:t>
      </w:r>
    </w:p>
    <w:p>
      <w:pPr>
        <w:pStyle w:val="ListBullet"/>
        <w:spacing w:after="80" w:line="276" w:lineRule="auto" w:before="0"/>
      </w:pPr>
      <w:r>
        <w:rPr>
          <w:rFonts w:ascii="Calibri" w:hAnsi="Calibri"/>
          <w:b/>
          <w:color w:val="282828"/>
          <w:sz w:val="20"/>
        </w:rPr>
        <w:t xml:space="preserve">1. Verified LangSec Synthesis: </w:t>
      </w:r>
      <w:r>
        <w:rPr>
          <w:rFonts w:ascii="Calibri" w:hAnsi="Calibri"/>
          <w:color w:val="282828"/>
          <w:sz w:val="20"/>
        </w:rPr>
        <w:t>The integration of Language-Theoretic Security into automated verified parser synthesis, utilizing formal proof assistants (e.g., Coq, Lean) to generate provably bug-free parsers for critical industrial communication protocols.</w:t>
      </w:r>
    </w:p>
    <w:p>
      <w:pPr>
        <w:pStyle w:val="ListBullet"/>
        <w:spacing w:after="80" w:line="276" w:lineRule="auto" w:before="0"/>
      </w:pPr>
      <w:r>
        <w:rPr>
          <w:rFonts w:ascii="Calibri" w:hAnsi="Calibri"/>
          <w:b/>
          <w:color w:val="282828"/>
          <w:sz w:val="20"/>
        </w:rPr>
        <w:t xml:space="preserve">2. Space Complexity Separations: </w:t>
      </w:r>
      <w:r>
        <w:rPr>
          <w:rFonts w:ascii="Calibri" w:hAnsi="Calibri"/>
          <w:color w:val="282828"/>
          <w:sz w:val="20"/>
        </w:rPr>
        <w:t>Resolving foundational open problems in complexity theory, notably the second LBA problem (whether deterministic and nondeterministic LBAs are equivalent, DLBA =? NLBA), which holds profound ramifications for space complexity classes.</w:t>
      </w:r>
    </w:p>
    <w:p>
      <w:pPr>
        <w:pStyle w:val="ListBullet"/>
        <w:spacing w:after="80" w:line="276" w:lineRule="auto" w:before="0"/>
      </w:pPr>
      <w:r>
        <w:rPr>
          <w:rFonts w:ascii="Calibri" w:hAnsi="Calibri"/>
          <w:b/>
          <w:color w:val="282828"/>
          <w:sz w:val="20"/>
        </w:rPr>
        <w:t xml:space="preserve">3. Neuro-Symbolic Automata: </w:t>
      </w:r>
      <w:r>
        <w:rPr>
          <w:rFonts w:ascii="Calibri" w:hAnsi="Calibri"/>
          <w:color w:val="282828"/>
          <w:sz w:val="20"/>
        </w:rPr>
        <w:t>Developing hybrid neuro-symbolic sequence architectures that augment deep neural networks with formal, provably bounded automata memory (differentiable stacks, tapes, and state machines) to transcend empirical hallucinations and achieve true algorithmic generalization.</w:t>
      </w:r>
    </w:p>
    <w:p>
      <w:pPr>
        <w:keepNext/>
        <w:spacing w:before="320" w:after="120"/>
      </w:pPr>
      <w:r>
        <w:rPr>
          <w:rFonts w:ascii="Calibri" w:hAnsi="Calibri"/>
          <w:b/>
          <w:color w:val="0F2C59"/>
          <w:sz w:val="28"/>
        </w:rPr>
        <w:t>8. References</w:t>
      </w:r>
    </w:p>
    <w:p>
      <w:pPr>
        <w:spacing w:before="0" w:after="60" w:line="276" w:lineRule="auto"/>
        <w:ind w:left="432" w:hanging="432"/>
      </w:pPr>
      <w:r>
        <w:rPr>
          <w:rFonts w:ascii="Calibri" w:hAnsi="Calibri"/>
          <w:color w:val="282828"/>
          <w:sz w:val="19"/>
        </w:rPr>
        <w:t>[1] N. Chomsky, 'Three models for the description of language,' IEEE Transactions on Information Theory, vol. 2, no. 3, pp. 113-124, Sep. 1956.</w:t>
      </w:r>
    </w:p>
    <w:p>
      <w:pPr>
        <w:spacing w:before="0" w:after="60" w:line="276" w:lineRule="auto"/>
        <w:ind w:left="432" w:hanging="432"/>
      </w:pPr>
      <w:r>
        <w:rPr>
          <w:rFonts w:ascii="Calibri" w:hAnsi="Calibri"/>
          <w:color w:val="282828"/>
          <w:sz w:val="19"/>
        </w:rPr>
        <w:t>[2] N. Chomsky, 'On certain formal properties of grammars,' Information and Control, vol. 2, no. 2, pp. 137-167, Jun. 1959.</w:t>
      </w:r>
    </w:p>
    <w:p>
      <w:pPr>
        <w:spacing w:before="0" w:after="60" w:line="276" w:lineRule="auto"/>
        <w:ind w:left="432" w:hanging="432"/>
      </w:pPr>
      <w:r>
        <w:rPr>
          <w:rFonts w:ascii="Calibri" w:hAnsi="Calibri"/>
          <w:color w:val="282828"/>
          <w:sz w:val="19"/>
        </w:rPr>
        <w:t>[3] M. O. Rabin and D. Scott, 'Finite automata and their decision problems,' IBM Journal of Research and Development, vol. 3, no. 2, pp. 114-125, Apr. 1959.</w:t>
      </w:r>
    </w:p>
    <w:p>
      <w:pPr>
        <w:spacing w:before="0" w:after="60" w:line="276" w:lineRule="auto"/>
        <w:ind w:left="432" w:hanging="432"/>
      </w:pPr>
      <w:r>
        <w:rPr>
          <w:rFonts w:ascii="Calibri" w:hAnsi="Calibri"/>
          <w:color w:val="282828"/>
          <w:sz w:val="19"/>
        </w:rPr>
        <w:t>[4] Y. Bar-Hillel, M. Perles, and E. Shamir, 'On formal properties of simple phrase structure grammars,' Zeitschrift für Phonetik, Sprachwissenschaft und Kommunikationsforschung, vol. 14, pp. 143-172, 1961.</w:t>
      </w:r>
    </w:p>
    <w:p>
      <w:pPr>
        <w:spacing w:before="0" w:after="60" w:line="276" w:lineRule="auto"/>
        <w:ind w:left="432" w:hanging="432"/>
      </w:pPr>
      <w:r>
        <w:rPr>
          <w:rFonts w:ascii="Calibri" w:hAnsi="Calibri"/>
          <w:color w:val="282828"/>
          <w:sz w:val="19"/>
        </w:rPr>
        <w:t>[5] S. Y. Kuroda, 'Classes of languages and linear-bounded automata,' Information and Control, vol. 7, no. 2, pp. 207-223, Jun. 1964.</w:t>
      </w:r>
    </w:p>
    <w:p>
      <w:pPr>
        <w:spacing w:before="0" w:after="60" w:line="276" w:lineRule="auto"/>
        <w:ind w:left="432" w:hanging="432"/>
      </w:pPr>
      <w:r>
        <w:rPr>
          <w:rFonts w:ascii="Calibri" w:hAnsi="Calibri"/>
          <w:color w:val="282828"/>
          <w:sz w:val="19"/>
        </w:rPr>
        <w:t>[6] D. E. Knuth, 'On the translation of languages from left to right,' Information and Control, vol. 8, no. 6, pp. 607-639, Dec. 1965.</w:t>
      </w:r>
    </w:p>
    <w:p>
      <w:pPr>
        <w:spacing w:before="0" w:after="60" w:line="276" w:lineRule="auto"/>
        <w:ind w:left="432" w:hanging="432"/>
      </w:pPr>
      <w:r>
        <w:rPr>
          <w:rFonts w:ascii="Calibri" w:hAnsi="Calibri"/>
          <w:color w:val="282828"/>
          <w:sz w:val="19"/>
        </w:rPr>
        <w:t>[7] A. M. Turing, 'On computable numbers, with an application to the Entscheidungsproblem,' Proceedings of the London Mathematical Society, vol. s2-42, no. 1, pp. 230-265, 1936.</w:t>
      </w:r>
    </w:p>
    <w:p>
      <w:pPr>
        <w:spacing w:before="0" w:after="60" w:line="276" w:lineRule="auto"/>
        <w:ind w:left="432" w:hanging="432"/>
      </w:pPr>
      <w:r>
        <w:rPr>
          <w:rFonts w:ascii="Calibri" w:hAnsi="Calibri"/>
          <w:color w:val="282828"/>
          <w:sz w:val="19"/>
        </w:rPr>
        <w:t>[8] N. Immerman, 'Nondeterministic space is closed under complementation,' SIAM Journal on Computing, vol. 17, no. 5, pp. 935-938, Oct. 1988.</w:t>
      </w:r>
    </w:p>
    <w:p>
      <w:pPr>
        <w:spacing w:before="0" w:after="60" w:line="276" w:lineRule="auto"/>
        <w:ind w:left="432" w:hanging="432"/>
      </w:pPr>
      <w:r>
        <w:rPr>
          <w:rFonts w:ascii="Calibri" w:hAnsi="Calibri"/>
          <w:color w:val="282828"/>
          <w:sz w:val="19"/>
        </w:rPr>
        <w:t>[9] R. Szelepcsényi, 'The method of forced enumerations for nondeterministic automata,' Acta Informatica, vol. 26, no. 3, pp. 279-284, Nov. 1988.</w:t>
      </w:r>
    </w:p>
    <w:p>
      <w:pPr>
        <w:spacing w:before="0" w:after="60" w:line="276" w:lineRule="auto"/>
        <w:ind w:left="432" w:hanging="432"/>
      </w:pPr>
      <w:r>
        <w:rPr>
          <w:rFonts w:ascii="Calibri" w:hAnsi="Calibri"/>
          <w:color w:val="282828"/>
          <w:sz w:val="19"/>
        </w:rPr>
        <w:t>[10] J. E. Hopcroft, R. Motwani, and J. D. Ullman, Introduction to Automata Theory, Languages, and Computation, 3rd ed. Boston, MA, USA: Addison-Wesley, 2006.</w:t>
      </w:r>
    </w:p>
    <w:p>
      <w:pPr>
        <w:spacing w:before="0" w:after="60" w:line="276" w:lineRule="auto"/>
        <w:ind w:left="432" w:hanging="432"/>
      </w:pPr>
      <w:r>
        <w:rPr>
          <w:rFonts w:ascii="Calibri" w:hAnsi="Calibri"/>
          <w:color w:val="282828"/>
          <w:sz w:val="19"/>
        </w:rPr>
        <w:t>[11] M. Sipser, Introduction to the Theory of Computation, 3rd ed. Boston, MA, USA: Cengage Learning, 2013.</w:t>
      </w:r>
    </w:p>
    <w:p>
      <w:pPr>
        <w:spacing w:before="0" w:after="60" w:line="276" w:lineRule="auto"/>
        <w:ind w:left="432" w:hanging="432"/>
      </w:pPr>
      <w:r>
        <w:rPr>
          <w:rFonts w:ascii="Calibri" w:hAnsi="Calibri"/>
          <w:color w:val="282828"/>
          <w:sz w:val="19"/>
        </w:rPr>
        <w:t>[12] L. Sassaman, M. L. Patterson, and S. Bratus, 'A web-scale flaw and how to fix it: The language-theoretic approach to software security,' IEEE Security &amp; Privacy, vol. 11, no. 5, pp. 75-78, Sep. 2013.</w:t>
      </w:r>
    </w:p>
    <w:p>
      <w:pPr>
        <w:spacing w:before="0" w:after="60" w:line="276" w:lineRule="auto"/>
        <w:ind w:left="432" w:hanging="432"/>
      </w:pPr>
      <w:r>
        <w:rPr>
          <w:rFonts w:ascii="Calibri" w:hAnsi="Calibri"/>
          <w:color w:val="282828"/>
          <w:sz w:val="19"/>
        </w:rPr>
        <w:t>[13] S. Bratus, M. E. Locasto, M. L. Patterson, and A. Shubina, 'Exploit programming: From buffer overflows to weird machines and theory of robust systems,' USENIX ;login:, vol. 36, no. 6, pp. 13-21, Dec. 2011.</w:t>
      </w:r>
    </w:p>
    <w:p>
      <w:pPr>
        <w:spacing w:before="0" w:after="60" w:line="276" w:lineRule="auto"/>
        <w:ind w:left="432" w:hanging="432"/>
      </w:pPr>
      <w:r>
        <w:rPr>
          <w:rFonts w:ascii="Calibri" w:hAnsi="Calibri"/>
          <w:color w:val="282828"/>
          <w:sz w:val="19"/>
        </w:rPr>
        <w:t>[14] G. Delétang, A. Ruoss, J. Du, M. Catt, T. Genewein, C. Allen, B. Venn-Wadsworth, S. A. E. M. S. et al., 'Neural networks and the Chomsky hierarchy,' in International Conference on Learning Representations (ICLR), Kigali, Rwanda, May 2023.</w:t>
      </w:r>
    </w:p>
    <w:p>
      <w:pPr>
        <w:spacing w:before="0" w:after="60" w:line="276" w:lineRule="auto"/>
        <w:ind w:left="432" w:hanging="432"/>
      </w:pPr>
      <w:r>
        <w:rPr>
          <w:rFonts w:ascii="Calibri" w:hAnsi="Calibri"/>
          <w:color w:val="282828"/>
          <w:sz w:val="19"/>
        </w:rPr>
        <w:t>[15] W. Merrill, A. Sabharwal, and N. A. Smith, 'Theoretical capabilities and limitations of self-attention on formal languages,' in Findings of the Association for Computational Linguistics: ACL 2022, Dublin, Ireland, May 2022, pp. 2886-2900.</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787878"/>
        <w:sz w:val="17"/>
      </w:rPr>
      <w:t>Advanced Theory of Computation — Zetech University — Academic Year 2026/2027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87878"/>
        <w:sz w:val="17"/>
      </w:rPr>
      <w:t>MSc Seminar: The Chomsky Hierarchy &amp; Formal Language Models | Jeff Tarimo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